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839" w:rsidRPr="00F9442F" w:rsidRDefault="00CE0839" w:rsidP="00CE0839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F9442F">
        <w:rPr>
          <w:rFonts w:ascii="Times New Roman" w:hAnsi="Times New Roman"/>
          <w:b/>
          <w:sz w:val="24"/>
          <w:szCs w:val="24"/>
        </w:rPr>
        <w:t xml:space="preserve">Załącznik nr 1 do ogłoszenia o naborze Nr </w:t>
      </w:r>
      <w:r w:rsidR="006F4AF5">
        <w:rPr>
          <w:rFonts w:ascii="Times New Roman" w:hAnsi="Times New Roman"/>
          <w:b/>
          <w:sz w:val="24"/>
          <w:szCs w:val="24"/>
        </w:rPr>
        <w:t>5</w:t>
      </w:r>
      <w:r w:rsidRPr="00F9442F">
        <w:rPr>
          <w:rFonts w:ascii="Times New Roman" w:hAnsi="Times New Roman"/>
          <w:b/>
          <w:sz w:val="24"/>
          <w:szCs w:val="24"/>
        </w:rPr>
        <w:t>/2017</w:t>
      </w:r>
    </w:p>
    <w:p w:rsidR="00CE0839" w:rsidRDefault="00CE0839" w:rsidP="00CE083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E0839" w:rsidRDefault="00CE0839" w:rsidP="00CE083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E0839" w:rsidRDefault="00CE0839" w:rsidP="00CE08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9442F">
        <w:rPr>
          <w:rFonts w:ascii="Times New Roman" w:hAnsi="Times New Roman"/>
          <w:b/>
          <w:sz w:val="24"/>
          <w:szCs w:val="24"/>
        </w:rPr>
        <w:t>Planowane do osiągnięcia w wyniku operacji cele ogólne, szczegółowe, przedsięwzięcia oraz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9442F">
        <w:rPr>
          <w:rFonts w:ascii="Times New Roman" w:hAnsi="Times New Roman"/>
          <w:b/>
          <w:sz w:val="24"/>
          <w:szCs w:val="24"/>
        </w:rPr>
        <w:t>zakładane do osiągnięcia wskaźniki</w:t>
      </w:r>
    </w:p>
    <w:p w:rsidR="00CE0839" w:rsidRDefault="00CE0839" w:rsidP="00CE08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B2DA0" w:rsidRDefault="007B2DA0" w:rsidP="007B2DA0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701"/>
        <w:gridCol w:w="1121"/>
        <w:gridCol w:w="1228"/>
        <w:gridCol w:w="1702"/>
        <w:gridCol w:w="1266"/>
        <w:gridCol w:w="1340"/>
      </w:tblGrid>
      <w:tr w:rsidR="006F4AF5" w:rsidRPr="009F6296" w:rsidTr="00DD13B8">
        <w:tc>
          <w:tcPr>
            <w:tcW w:w="9062" w:type="dxa"/>
            <w:gridSpan w:val="7"/>
            <w:shd w:val="clear" w:color="auto" w:fill="BFBFBF"/>
          </w:tcPr>
          <w:p w:rsidR="006F4AF5" w:rsidRPr="009F6296" w:rsidRDefault="006F4AF5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Cel ogólny LSR</w:t>
            </w:r>
          </w:p>
        </w:tc>
      </w:tr>
      <w:tr w:rsidR="006F4AF5" w:rsidRPr="009F6296" w:rsidTr="00DD13B8">
        <w:tc>
          <w:tcPr>
            <w:tcW w:w="9062" w:type="dxa"/>
            <w:gridSpan w:val="7"/>
          </w:tcPr>
          <w:p w:rsidR="006F4AF5" w:rsidRPr="009F6296" w:rsidRDefault="006F4AF5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Cel ogólny nr 2: Lepsze wykorzystanie potencjału przyrodniczego i kulturowego w rozwoju regionu</w:t>
            </w:r>
          </w:p>
        </w:tc>
      </w:tr>
      <w:tr w:rsidR="006F4AF5" w:rsidRPr="009F6296" w:rsidTr="00DD13B8">
        <w:tc>
          <w:tcPr>
            <w:tcW w:w="9062" w:type="dxa"/>
            <w:gridSpan w:val="7"/>
            <w:shd w:val="clear" w:color="auto" w:fill="BFBFBF"/>
          </w:tcPr>
          <w:p w:rsidR="006F4AF5" w:rsidRPr="009F6296" w:rsidRDefault="006F4AF5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Cele szczegółowe LSR</w:t>
            </w:r>
          </w:p>
        </w:tc>
      </w:tr>
      <w:tr w:rsidR="006F4AF5" w:rsidRPr="009F6296" w:rsidTr="00DD13B8">
        <w:tc>
          <w:tcPr>
            <w:tcW w:w="9062" w:type="dxa"/>
            <w:gridSpan w:val="7"/>
          </w:tcPr>
          <w:p w:rsidR="006F4AF5" w:rsidRPr="009F6296" w:rsidRDefault="006F4AF5" w:rsidP="00070C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 xml:space="preserve">Cel szczegółowy 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 xml:space="preserve">2: </w:t>
            </w:r>
            <w:r w:rsidR="00070C3C" w:rsidRPr="00FF5FB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Rozwój infrastruktury turystycznej, rekreacyjnej </w:t>
            </w:r>
            <w:r w:rsidR="00070C3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 kulturalnej</w:t>
            </w:r>
          </w:p>
        </w:tc>
      </w:tr>
      <w:tr w:rsidR="006F4AF5" w:rsidRPr="009F6296" w:rsidTr="00DD13B8">
        <w:tc>
          <w:tcPr>
            <w:tcW w:w="9062" w:type="dxa"/>
            <w:gridSpan w:val="7"/>
            <w:shd w:val="clear" w:color="auto" w:fill="BFBFBF"/>
          </w:tcPr>
          <w:p w:rsidR="006F4AF5" w:rsidRPr="009F6296" w:rsidRDefault="006F4AF5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Przedsięwzięcia</w:t>
            </w:r>
          </w:p>
        </w:tc>
      </w:tr>
      <w:tr w:rsidR="006F4AF5" w:rsidRPr="009F6296" w:rsidTr="00DD13B8">
        <w:tc>
          <w:tcPr>
            <w:tcW w:w="9062" w:type="dxa"/>
            <w:gridSpan w:val="7"/>
          </w:tcPr>
          <w:p w:rsidR="006F4AF5" w:rsidRPr="009F6296" w:rsidRDefault="006F4AF5" w:rsidP="00DD1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9F62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 xml:space="preserve">Do celu ogólnego nr 2 i celu szczegółowego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2</w:t>
            </w:r>
            <w:r w:rsidRPr="009F62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:</w:t>
            </w:r>
          </w:p>
          <w:p w:rsidR="006F4AF5" w:rsidRPr="009F6296" w:rsidRDefault="006F4AF5" w:rsidP="00DD1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Przedsięwzięcie 1.1.1 </w:t>
            </w:r>
            <w:r w:rsidRPr="007B77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Budowa i przebudowa obiektów ogólnodostępnej i niekomercyjnej infrastruk</w:t>
            </w:r>
            <w:r w:rsidR="00070C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tury turystycznej, rekreacyjnej i kulturalnej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</w:t>
            </w:r>
          </w:p>
          <w:p w:rsidR="006F4AF5" w:rsidRPr="009F6296" w:rsidRDefault="006F4AF5" w:rsidP="00DD1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F4AF5" w:rsidRPr="009F6296" w:rsidTr="00DD13B8">
        <w:tc>
          <w:tcPr>
            <w:tcW w:w="9062" w:type="dxa"/>
            <w:gridSpan w:val="7"/>
            <w:shd w:val="clear" w:color="auto" w:fill="BFBFBF"/>
          </w:tcPr>
          <w:p w:rsidR="006F4AF5" w:rsidRPr="009F6296" w:rsidRDefault="006F4AF5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Wskaźnik</w:t>
            </w:r>
          </w:p>
        </w:tc>
      </w:tr>
      <w:tr w:rsidR="006F4AF5" w:rsidRPr="009F6296" w:rsidTr="00DD13B8">
        <w:tc>
          <w:tcPr>
            <w:tcW w:w="704" w:type="dxa"/>
            <w:shd w:val="clear" w:color="auto" w:fill="BFBFBF"/>
          </w:tcPr>
          <w:p w:rsidR="006F4AF5" w:rsidRPr="009F6296" w:rsidRDefault="006F4AF5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1701" w:type="dxa"/>
            <w:shd w:val="clear" w:color="auto" w:fill="BFBFBF"/>
          </w:tcPr>
          <w:p w:rsidR="006F4AF5" w:rsidRPr="009F6296" w:rsidRDefault="006F4AF5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Nazwa wskaźnika</w:t>
            </w:r>
          </w:p>
        </w:tc>
        <w:tc>
          <w:tcPr>
            <w:tcW w:w="1121" w:type="dxa"/>
            <w:shd w:val="clear" w:color="auto" w:fill="BFBFBF"/>
          </w:tcPr>
          <w:p w:rsidR="006F4AF5" w:rsidRPr="009F6296" w:rsidRDefault="006F4AF5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Jednostka</w:t>
            </w:r>
          </w:p>
          <w:p w:rsidR="006F4AF5" w:rsidRPr="009F6296" w:rsidRDefault="006F4AF5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miary</w:t>
            </w:r>
          </w:p>
        </w:tc>
        <w:tc>
          <w:tcPr>
            <w:tcW w:w="1228" w:type="dxa"/>
            <w:shd w:val="clear" w:color="auto" w:fill="BFBFBF"/>
          </w:tcPr>
          <w:p w:rsidR="006F4AF5" w:rsidRPr="009F6296" w:rsidRDefault="006F4AF5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Wartość wskaźnika</w:t>
            </w:r>
          </w:p>
          <w:p w:rsidR="006F4AF5" w:rsidRPr="009F6296" w:rsidRDefault="006F4AF5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z LSR</w:t>
            </w:r>
          </w:p>
        </w:tc>
        <w:tc>
          <w:tcPr>
            <w:tcW w:w="1702" w:type="dxa"/>
            <w:shd w:val="clear" w:color="auto" w:fill="BFBFBF"/>
          </w:tcPr>
          <w:p w:rsidR="006F4AF5" w:rsidRPr="009F6296" w:rsidRDefault="006F4AF5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Wartość zrealizowanych</w:t>
            </w:r>
          </w:p>
          <w:p w:rsidR="006F4AF5" w:rsidRPr="009F6296" w:rsidRDefault="006F4AF5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wskaźników w</w:t>
            </w:r>
          </w:p>
          <w:p w:rsidR="006F4AF5" w:rsidRPr="009F6296" w:rsidRDefault="006F4AF5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LSR</w:t>
            </w:r>
          </w:p>
        </w:tc>
        <w:tc>
          <w:tcPr>
            <w:tcW w:w="1266" w:type="dxa"/>
            <w:shd w:val="clear" w:color="auto" w:fill="BFBFBF"/>
          </w:tcPr>
          <w:p w:rsidR="006F4AF5" w:rsidRPr="009F6296" w:rsidRDefault="006F4AF5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 xml:space="preserve">Wartość </w:t>
            </w:r>
          </w:p>
          <w:p w:rsidR="006F4AF5" w:rsidRPr="009F6296" w:rsidRDefault="006F4AF5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 xml:space="preserve">wskaźnika </w:t>
            </w:r>
          </w:p>
          <w:p w:rsidR="006F4AF5" w:rsidRPr="009F6296" w:rsidRDefault="006F4AF5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 xml:space="preserve">planowana do </w:t>
            </w:r>
          </w:p>
          <w:p w:rsidR="006F4AF5" w:rsidRPr="009F6296" w:rsidRDefault="006F4AF5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 xml:space="preserve">osiągnięcia w </w:t>
            </w:r>
          </w:p>
          <w:p w:rsidR="006F4AF5" w:rsidRPr="009F6296" w:rsidRDefault="006F4AF5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 xml:space="preserve">związku z </w:t>
            </w:r>
          </w:p>
          <w:p w:rsidR="006F4AF5" w:rsidRPr="009F6296" w:rsidRDefault="006F4AF5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 xml:space="preserve">realizacją </w:t>
            </w:r>
          </w:p>
          <w:p w:rsidR="006F4AF5" w:rsidRPr="009F6296" w:rsidRDefault="006F4AF5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operacji</w:t>
            </w:r>
          </w:p>
        </w:tc>
        <w:tc>
          <w:tcPr>
            <w:tcW w:w="1340" w:type="dxa"/>
            <w:shd w:val="clear" w:color="auto" w:fill="BFBFBF"/>
          </w:tcPr>
          <w:p w:rsidR="006F4AF5" w:rsidRPr="009F6296" w:rsidRDefault="006F4AF5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 xml:space="preserve">Wartość </w:t>
            </w:r>
          </w:p>
          <w:p w:rsidR="006F4AF5" w:rsidRPr="009F6296" w:rsidRDefault="006F4AF5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 xml:space="preserve">wskaźnika z </w:t>
            </w:r>
          </w:p>
          <w:p w:rsidR="006F4AF5" w:rsidRPr="009F6296" w:rsidRDefault="006F4AF5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 xml:space="preserve">LSR </w:t>
            </w:r>
          </w:p>
          <w:p w:rsidR="006F4AF5" w:rsidRPr="009F6296" w:rsidRDefault="006F4AF5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 xml:space="preserve">pozostająca </w:t>
            </w:r>
          </w:p>
          <w:p w:rsidR="006F4AF5" w:rsidRPr="009F6296" w:rsidRDefault="006F4AF5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do realizacji</w:t>
            </w:r>
          </w:p>
        </w:tc>
      </w:tr>
      <w:tr w:rsidR="006F4AF5" w:rsidRPr="009F6296" w:rsidTr="00DD13B8">
        <w:trPr>
          <w:trHeight w:val="4671"/>
        </w:trPr>
        <w:tc>
          <w:tcPr>
            <w:tcW w:w="704" w:type="dxa"/>
            <w:shd w:val="clear" w:color="auto" w:fill="FFFFFF"/>
          </w:tcPr>
          <w:p w:rsidR="006F4AF5" w:rsidRPr="009F6296" w:rsidRDefault="006F4AF5" w:rsidP="00DD13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9F6296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shd w:val="clear" w:color="auto" w:fill="FFFFFF"/>
          </w:tcPr>
          <w:p w:rsidR="006F4AF5" w:rsidRPr="007A29B8" w:rsidRDefault="006F4AF5" w:rsidP="00DD13B8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7A29B8">
              <w:rPr>
                <w:rFonts w:ascii="Times New Roman" w:eastAsia="Times New Roman" w:hAnsi="Times New Roman"/>
                <w:lang w:eastAsia="pl-PL"/>
              </w:rPr>
              <w:t>Liczba nowopowstał</w:t>
            </w:r>
            <w:r w:rsidR="00070C3C">
              <w:rPr>
                <w:rFonts w:ascii="Times New Roman" w:eastAsia="Times New Roman" w:hAnsi="Times New Roman"/>
                <w:lang w:eastAsia="pl-PL"/>
              </w:rPr>
              <w:t>ych miejsc kulturalnych lub rekreacyjnych</w:t>
            </w:r>
            <w:r w:rsidRPr="007A29B8">
              <w:rPr>
                <w:rFonts w:ascii="Times New Roman" w:eastAsia="Times New Roman" w:hAnsi="Times New Roman"/>
                <w:lang w:eastAsia="pl-PL"/>
              </w:rPr>
              <w:t xml:space="preserve"> z wyłączeniem świetlic wiejskich w gminie Osiecznica i Wymiarki</w:t>
            </w:r>
          </w:p>
          <w:p w:rsidR="006F4AF5" w:rsidRPr="007A29B8" w:rsidRDefault="006F4AF5" w:rsidP="00DD13B8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6F4AF5" w:rsidRPr="007A29B8" w:rsidRDefault="006F4AF5" w:rsidP="00DD13B8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7A29B8">
              <w:rPr>
                <w:rFonts w:ascii="Times New Roman" w:eastAsia="Times New Roman" w:hAnsi="Times New Roman"/>
                <w:lang w:eastAsia="pl-PL"/>
              </w:rPr>
              <w:t>Liczba nowopowstałych obiektów służących do uprawiania turystyki rowerowej w gminie Małomi</w:t>
            </w:r>
            <w:r w:rsidRPr="007A29B8">
              <w:rPr>
                <w:rFonts w:ascii="Times New Roman" w:eastAsia="Times New Roman" w:hAnsi="Times New Roman"/>
                <w:lang w:eastAsia="pl-PL"/>
              </w:rPr>
              <w:lastRenderedPageBreak/>
              <w:t>ce i Węgliniec</w:t>
            </w:r>
          </w:p>
          <w:p w:rsidR="006F4AF5" w:rsidRPr="007A29B8" w:rsidRDefault="006F4AF5" w:rsidP="00DD13B8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6F4AF5" w:rsidRPr="007A29B8" w:rsidRDefault="006F4AF5" w:rsidP="00DD13B8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7A29B8">
              <w:rPr>
                <w:rFonts w:ascii="Times New Roman" w:eastAsia="Times New Roman" w:hAnsi="Times New Roman"/>
                <w:lang w:eastAsia="pl-PL"/>
              </w:rPr>
              <w:t xml:space="preserve">Liczba </w:t>
            </w:r>
            <w:r w:rsidR="00480FBC">
              <w:rPr>
                <w:rFonts w:ascii="Times New Roman" w:eastAsia="Times New Roman" w:hAnsi="Times New Roman"/>
                <w:lang w:eastAsia="pl-PL"/>
              </w:rPr>
              <w:t>przebudo</w:t>
            </w:r>
            <w:r w:rsidRPr="007A29B8">
              <w:rPr>
                <w:rFonts w:ascii="Times New Roman" w:eastAsia="Times New Roman" w:hAnsi="Times New Roman"/>
                <w:lang w:eastAsia="pl-PL"/>
              </w:rPr>
              <w:t xml:space="preserve">wanych świetlic integracyjnych w miejscowości </w:t>
            </w:r>
            <w:proofErr w:type="spellStart"/>
            <w:r w:rsidRPr="007A29B8">
              <w:rPr>
                <w:rFonts w:ascii="Times New Roman" w:eastAsia="Times New Roman" w:hAnsi="Times New Roman"/>
                <w:lang w:eastAsia="pl-PL"/>
              </w:rPr>
              <w:t>Lutynka</w:t>
            </w:r>
            <w:proofErr w:type="spellEnd"/>
            <w:r w:rsidRPr="007A29B8">
              <w:rPr>
                <w:rFonts w:ascii="Times New Roman" w:eastAsia="Times New Roman" w:hAnsi="Times New Roman"/>
                <w:lang w:eastAsia="pl-PL"/>
              </w:rPr>
              <w:t>, Witoszyn i Stary Żagań</w:t>
            </w:r>
          </w:p>
          <w:p w:rsidR="006F4AF5" w:rsidRPr="007A29B8" w:rsidRDefault="006F4AF5" w:rsidP="00DD13B8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6F4AF5" w:rsidRPr="007A29B8" w:rsidRDefault="006F4AF5" w:rsidP="00DD13B8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7A29B8">
              <w:rPr>
                <w:rFonts w:ascii="Times New Roman" w:eastAsia="Times New Roman" w:hAnsi="Times New Roman"/>
                <w:lang w:eastAsia="pl-PL"/>
              </w:rPr>
              <w:t xml:space="preserve">Liczba nowych lub </w:t>
            </w:r>
            <w:r w:rsidR="00480FBC">
              <w:rPr>
                <w:rFonts w:ascii="Times New Roman" w:eastAsia="Times New Roman" w:hAnsi="Times New Roman"/>
                <w:lang w:eastAsia="pl-PL"/>
              </w:rPr>
              <w:t>przebudowany</w:t>
            </w:r>
            <w:r w:rsidRPr="007A29B8">
              <w:rPr>
                <w:rFonts w:ascii="Times New Roman" w:eastAsia="Times New Roman" w:hAnsi="Times New Roman"/>
                <w:lang w:eastAsia="pl-PL"/>
              </w:rPr>
              <w:t>ch obiektów rekreacyjnych w gminie Iłowa i Olbrachtowie</w:t>
            </w:r>
          </w:p>
          <w:p w:rsidR="006F4AF5" w:rsidRPr="007A29B8" w:rsidRDefault="006F4AF5" w:rsidP="00DD13B8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6F4AF5" w:rsidRPr="007A29B8" w:rsidRDefault="006F4AF5" w:rsidP="00DD13B8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7A29B8">
              <w:rPr>
                <w:rFonts w:ascii="Times New Roman" w:eastAsia="Times New Roman" w:hAnsi="Times New Roman"/>
                <w:lang w:eastAsia="pl-PL"/>
              </w:rPr>
              <w:t xml:space="preserve">Liczba (w hektarach) </w:t>
            </w:r>
            <w:r w:rsidR="00480FBC">
              <w:rPr>
                <w:rFonts w:ascii="Times New Roman" w:eastAsia="Times New Roman" w:hAnsi="Times New Roman"/>
                <w:lang w:eastAsia="pl-PL"/>
              </w:rPr>
              <w:t>wybudowa</w:t>
            </w:r>
            <w:r w:rsidRPr="007A29B8">
              <w:rPr>
                <w:rFonts w:ascii="Times New Roman" w:eastAsia="Times New Roman" w:hAnsi="Times New Roman"/>
                <w:lang w:eastAsia="pl-PL"/>
              </w:rPr>
              <w:t xml:space="preserve">nych i </w:t>
            </w:r>
            <w:r w:rsidR="00480FBC">
              <w:rPr>
                <w:rFonts w:ascii="Times New Roman" w:eastAsia="Times New Roman" w:hAnsi="Times New Roman"/>
                <w:lang w:eastAsia="pl-PL"/>
              </w:rPr>
              <w:t>przebudo</w:t>
            </w:r>
            <w:bookmarkStart w:id="0" w:name="_GoBack"/>
            <w:bookmarkEnd w:id="0"/>
            <w:r w:rsidRPr="007A29B8">
              <w:rPr>
                <w:rFonts w:ascii="Times New Roman" w:eastAsia="Times New Roman" w:hAnsi="Times New Roman"/>
                <w:lang w:eastAsia="pl-PL"/>
              </w:rPr>
              <w:t>wanych terenów zielonych w miejscowości Bieniów, Olbrachtów i Pieńsk</w:t>
            </w:r>
          </w:p>
          <w:p w:rsidR="006F4AF5" w:rsidRPr="007A29B8" w:rsidRDefault="006F4AF5" w:rsidP="00DD13B8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6F4AF5" w:rsidRPr="007A29B8" w:rsidRDefault="006F4AF5" w:rsidP="00DD13B8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7A29B8">
              <w:rPr>
                <w:rFonts w:ascii="Times New Roman" w:eastAsia="Times New Roman" w:hAnsi="Times New Roman"/>
                <w:lang w:eastAsia="pl-PL"/>
              </w:rPr>
              <w:t>Liczba przebudowanych i wybudowanych placów zabaw w Pieńsku oraz Sieniawie Żarskiej</w:t>
            </w:r>
          </w:p>
          <w:p w:rsidR="006F4AF5" w:rsidRPr="007A29B8" w:rsidRDefault="006F4AF5" w:rsidP="00DD13B8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AF4420" w:rsidRDefault="00AF4420" w:rsidP="00DD13B8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6F4AF5" w:rsidRPr="007A29B8" w:rsidRDefault="006F4AF5" w:rsidP="00DD13B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A29B8">
              <w:rPr>
                <w:rFonts w:ascii="Times New Roman" w:eastAsia="Times New Roman" w:hAnsi="Times New Roman"/>
                <w:lang w:eastAsia="pl-PL"/>
              </w:rPr>
              <w:t xml:space="preserve">Liczba wybudowanych miejsc rekreacji ruchowej w </w:t>
            </w:r>
            <w:r w:rsidRPr="007A29B8">
              <w:rPr>
                <w:rFonts w:ascii="Times New Roman" w:eastAsia="Times New Roman" w:hAnsi="Times New Roman"/>
                <w:lang w:eastAsia="pl-PL"/>
              </w:rPr>
              <w:lastRenderedPageBreak/>
              <w:t xml:space="preserve">miejscowościach </w:t>
            </w:r>
            <w:proofErr w:type="spellStart"/>
            <w:r w:rsidRPr="007A29B8">
              <w:rPr>
                <w:rFonts w:ascii="Times New Roman" w:hAnsi="Times New Roman"/>
                <w:color w:val="000000"/>
                <w:shd w:val="clear" w:color="auto" w:fill="FFFFFF"/>
              </w:rPr>
              <w:t>Stawnik</w:t>
            </w:r>
            <w:proofErr w:type="spellEnd"/>
            <w:r w:rsidRPr="007A29B8">
              <w:rPr>
                <w:rFonts w:ascii="Times New Roman" w:hAnsi="Times New Roman"/>
                <w:color w:val="000000"/>
                <w:shd w:val="clear" w:color="auto" w:fill="FFFFFF"/>
              </w:rPr>
              <w:t>, Olbrachtów, Lubomyśl, Mirostowice Górne, Siodło, Miłowice, Biedrzychowice Dolne</w:t>
            </w:r>
          </w:p>
        </w:tc>
        <w:tc>
          <w:tcPr>
            <w:tcW w:w="1121" w:type="dxa"/>
            <w:shd w:val="clear" w:color="auto" w:fill="FFFFFF"/>
          </w:tcPr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  <w:r w:rsidRPr="007A29B8">
              <w:rPr>
                <w:rFonts w:ascii="Times New Roman" w:hAnsi="Times New Roman"/>
              </w:rPr>
              <w:lastRenderedPageBreak/>
              <w:t>Liczba</w:t>
            </w: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AF4420" w:rsidRDefault="00AF4420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  <w:r w:rsidRPr="007A29B8">
              <w:rPr>
                <w:rFonts w:ascii="Times New Roman" w:hAnsi="Times New Roman"/>
              </w:rPr>
              <w:t>Liczba</w:t>
            </w: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  <w:r w:rsidRPr="007A29B8">
              <w:rPr>
                <w:rFonts w:ascii="Times New Roman" w:hAnsi="Times New Roman"/>
              </w:rPr>
              <w:t>Liczba</w:t>
            </w: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  <w:r w:rsidRPr="007A29B8">
              <w:rPr>
                <w:rFonts w:ascii="Times New Roman" w:hAnsi="Times New Roman"/>
              </w:rPr>
              <w:t>Liczba</w:t>
            </w: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  <w:r w:rsidRPr="007A29B8">
              <w:rPr>
                <w:rFonts w:ascii="Times New Roman" w:hAnsi="Times New Roman"/>
              </w:rPr>
              <w:t>Hektary</w:t>
            </w: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  <w:r w:rsidRPr="007A29B8">
              <w:rPr>
                <w:rFonts w:ascii="Times New Roman" w:hAnsi="Times New Roman"/>
              </w:rPr>
              <w:t>Liczba</w:t>
            </w: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Pr="007A29B8" w:rsidRDefault="006F4AF5" w:rsidP="00DD13B8">
            <w:pPr>
              <w:spacing w:after="0"/>
              <w:jc w:val="both"/>
              <w:rPr>
                <w:rFonts w:ascii="Times New Roman" w:hAnsi="Times New Roman"/>
              </w:rPr>
            </w:pPr>
            <w:r w:rsidRPr="007A29B8">
              <w:rPr>
                <w:rFonts w:ascii="Times New Roman" w:hAnsi="Times New Roman"/>
              </w:rPr>
              <w:lastRenderedPageBreak/>
              <w:t>Liczba</w:t>
            </w: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28" w:type="dxa"/>
            <w:shd w:val="clear" w:color="auto" w:fill="FFFFFF"/>
          </w:tcPr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  <w:r w:rsidRPr="007A29B8">
              <w:rPr>
                <w:rFonts w:ascii="Times New Roman" w:hAnsi="Times New Roman"/>
              </w:rPr>
              <w:lastRenderedPageBreak/>
              <w:t>11</w:t>
            </w: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  <w:r w:rsidRPr="007A29B8">
              <w:rPr>
                <w:rFonts w:ascii="Times New Roman" w:hAnsi="Times New Roman"/>
              </w:rPr>
              <w:t>2</w:t>
            </w: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  <w:r w:rsidRPr="007A29B8">
              <w:rPr>
                <w:rFonts w:ascii="Times New Roman" w:hAnsi="Times New Roman"/>
              </w:rPr>
              <w:t>3</w:t>
            </w: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  <w:r w:rsidRPr="007A29B8">
              <w:rPr>
                <w:rFonts w:ascii="Times New Roman" w:hAnsi="Times New Roman"/>
              </w:rPr>
              <w:t>3</w:t>
            </w: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  <w:r w:rsidRPr="007A29B8">
              <w:rPr>
                <w:rFonts w:ascii="Times New Roman" w:hAnsi="Times New Roman"/>
              </w:rPr>
              <w:t>1,0</w:t>
            </w: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  <w:r w:rsidRPr="007A29B8">
              <w:rPr>
                <w:rFonts w:ascii="Times New Roman" w:hAnsi="Times New Roman"/>
              </w:rPr>
              <w:t>2</w:t>
            </w: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Pr="007A29B8" w:rsidRDefault="006F4AF5" w:rsidP="00DD13B8">
            <w:pPr>
              <w:spacing w:after="0"/>
              <w:jc w:val="both"/>
              <w:rPr>
                <w:rFonts w:ascii="Times New Roman" w:hAnsi="Times New Roman"/>
              </w:rPr>
            </w:pPr>
            <w:r w:rsidRPr="007A29B8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1702" w:type="dxa"/>
            <w:shd w:val="clear" w:color="auto" w:fill="FFFFFF"/>
          </w:tcPr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  <w:r w:rsidRPr="007A29B8">
              <w:rPr>
                <w:rFonts w:ascii="Times New Roman" w:hAnsi="Times New Roman"/>
              </w:rPr>
              <w:lastRenderedPageBreak/>
              <w:t>0</w:t>
            </w: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  <w:r w:rsidRPr="007A29B8">
              <w:rPr>
                <w:rFonts w:ascii="Times New Roman" w:hAnsi="Times New Roman"/>
              </w:rPr>
              <w:t>0</w:t>
            </w: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  <w:r w:rsidRPr="007A29B8">
              <w:rPr>
                <w:rFonts w:ascii="Times New Roman" w:hAnsi="Times New Roman"/>
              </w:rPr>
              <w:t>0</w:t>
            </w: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  <w:r w:rsidRPr="007A29B8">
              <w:rPr>
                <w:rFonts w:ascii="Times New Roman" w:hAnsi="Times New Roman"/>
              </w:rPr>
              <w:t>0</w:t>
            </w: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  <w:r w:rsidRPr="007A29B8">
              <w:rPr>
                <w:rFonts w:ascii="Times New Roman" w:hAnsi="Times New Roman"/>
              </w:rPr>
              <w:t>0</w:t>
            </w: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  <w:r w:rsidRPr="007A29B8">
              <w:rPr>
                <w:rFonts w:ascii="Times New Roman" w:hAnsi="Times New Roman"/>
              </w:rPr>
              <w:t>0</w:t>
            </w: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Pr="007A29B8" w:rsidRDefault="006F4AF5" w:rsidP="00DD13B8">
            <w:pPr>
              <w:spacing w:after="0"/>
              <w:jc w:val="both"/>
              <w:rPr>
                <w:rFonts w:ascii="Times New Roman" w:hAnsi="Times New Roman"/>
              </w:rPr>
            </w:pPr>
            <w:r w:rsidRPr="007A29B8">
              <w:rPr>
                <w:rFonts w:ascii="Times New Roman" w:hAnsi="Times New Roman"/>
              </w:rPr>
              <w:lastRenderedPageBreak/>
              <w:t>0</w:t>
            </w:r>
          </w:p>
        </w:tc>
        <w:tc>
          <w:tcPr>
            <w:tcW w:w="1266" w:type="dxa"/>
            <w:shd w:val="clear" w:color="auto" w:fill="FFFFFF"/>
          </w:tcPr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  <w:r w:rsidRPr="007A29B8">
              <w:rPr>
                <w:rFonts w:ascii="Times New Roman" w:hAnsi="Times New Roman"/>
              </w:rPr>
              <w:lastRenderedPageBreak/>
              <w:t>11</w:t>
            </w: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  <w:r w:rsidRPr="007A29B8">
              <w:rPr>
                <w:rFonts w:ascii="Times New Roman" w:hAnsi="Times New Roman"/>
              </w:rPr>
              <w:t>2</w:t>
            </w: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  <w:r w:rsidRPr="007A29B8">
              <w:rPr>
                <w:rFonts w:ascii="Times New Roman" w:hAnsi="Times New Roman"/>
              </w:rPr>
              <w:t>3</w:t>
            </w: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  <w:r w:rsidRPr="007A29B8">
              <w:rPr>
                <w:rFonts w:ascii="Times New Roman" w:hAnsi="Times New Roman"/>
              </w:rPr>
              <w:t>3</w:t>
            </w: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  <w:r w:rsidRPr="007A29B8">
              <w:rPr>
                <w:rFonts w:ascii="Times New Roman" w:hAnsi="Times New Roman"/>
              </w:rPr>
              <w:t>1,0</w:t>
            </w: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  <w:r w:rsidRPr="007A29B8">
              <w:rPr>
                <w:rFonts w:ascii="Times New Roman" w:hAnsi="Times New Roman"/>
              </w:rPr>
              <w:t>2</w:t>
            </w: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Pr="007A29B8" w:rsidRDefault="006F4AF5" w:rsidP="00DD13B8">
            <w:pPr>
              <w:spacing w:after="0"/>
              <w:jc w:val="both"/>
              <w:rPr>
                <w:rFonts w:ascii="Times New Roman" w:hAnsi="Times New Roman"/>
              </w:rPr>
            </w:pPr>
            <w:r w:rsidRPr="007A29B8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1340" w:type="dxa"/>
            <w:shd w:val="clear" w:color="auto" w:fill="FFFFFF"/>
          </w:tcPr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  <w:r w:rsidRPr="007A29B8">
              <w:rPr>
                <w:rFonts w:ascii="Times New Roman" w:hAnsi="Times New Roman"/>
              </w:rPr>
              <w:lastRenderedPageBreak/>
              <w:t>11</w:t>
            </w: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  <w:r w:rsidRPr="007A29B8">
              <w:rPr>
                <w:rFonts w:ascii="Times New Roman" w:hAnsi="Times New Roman"/>
              </w:rPr>
              <w:t>2</w:t>
            </w: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  <w:r w:rsidRPr="007A29B8">
              <w:rPr>
                <w:rFonts w:ascii="Times New Roman" w:hAnsi="Times New Roman"/>
              </w:rPr>
              <w:t>3</w:t>
            </w: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  <w:r w:rsidRPr="007A29B8">
              <w:rPr>
                <w:rFonts w:ascii="Times New Roman" w:hAnsi="Times New Roman"/>
              </w:rPr>
              <w:t>3</w:t>
            </w: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  <w:r w:rsidRPr="007A29B8">
              <w:rPr>
                <w:rFonts w:ascii="Times New Roman" w:hAnsi="Times New Roman"/>
              </w:rPr>
              <w:t>1,0</w:t>
            </w: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  <w:r w:rsidRPr="007A29B8">
              <w:rPr>
                <w:rFonts w:ascii="Times New Roman" w:hAnsi="Times New Roman"/>
              </w:rPr>
              <w:t>2</w:t>
            </w: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Pr="007A29B8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Default="006F4AF5" w:rsidP="00DD13B8">
            <w:pPr>
              <w:jc w:val="both"/>
              <w:rPr>
                <w:rFonts w:ascii="Times New Roman" w:hAnsi="Times New Roman"/>
              </w:rPr>
            </w:pPr>
          </w:p>
          <w:p w:rsidR="006F4AF5" w:rsidRPr="007A29B8" w:rsidRDefault="006F4AF5" w:rsidP="00DD13B8">
            <w:pPr>
              <w:spacing w:after="0"/>
              <w:jc w:val="both"/>
              <w:rPr>
                <w:rFonts w:ascii="Times New Roman" w:hAnsi="Times New Roman"/>
              </w:rPr>
            </w:pPr>
            <w:r w:rsidRPr="007A29B8">
              <w:rPr>
                <w:rFonts w:ascii="Times New Roman" w:hAnsi="Times New Roman"/>
              </w:rPr>
              <w:lastRenderedPageBreak/>
              <w:t>7</w:t>
            </w:r>
          </w:p>
        </w:tc>
      </w:tr>
    </w:tbl>
    <w:p w:rsidR="007B2DA0" w:rsidRDefault="007B2DA0" w:rsidP="007B2DA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B2DA0" w:rsidRDefault="007B2DA0" w:rsidP="007B2DA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B2DA0" w:rsidRDefault="007B2DA0" w:rsidP="007B2DA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E0839" w:rsidRDefault="00CE0839" w:rsidP="00CE08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E0839" w:rsidRDefault="00CE0839" w:rsidP="00CE08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E0839" w:rsidRDefault="00CE0839" w:rsidP="00CE08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14417" w:rsidRDefault="00514417"/>
    <w:sectPr w:rsidR="00514417" w:rsidSect="0051441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013" w:rsidRDefault="008D7013" w:rsidP="00CE0839">
      <w:pPr>
        <w:spacing w:after="0" w:line="240" w:lineRule="auto"/>
      </w:pPr>
      <w:r>
        <w:separator/>
      </w:r>
    </w:p>
  </w:endnote>
  <w:endnote w:type="continuationSeparator" w:id="0">
    <w:p w:rsidR="008D7013" w:rsidRDefault="008D7013" w:rsidP="00CE0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839" w:rsidRDefault="00CE0839">
    <w:pPr>
      <w:pStyle w:val="Stopka"/>
    </w:pPr>
  </w:p>
  <w:p w:rsidR="00CE0839" w:rsidRPr="00ED2562" w:rsidRDefault="00CE0839" w:rsidP="00CE0839">
    <w:pPr>
      <w:spacing w:after="0" w:line="240" w:lineRule="auto"/>
      <w:jc w:val="center"/>
      <w:rPr>
        <w:rFonts w:ascii="Times New Roman" w:eastAsia="Times New Roman" w:hAnsi="Times New Roman"/>
        <w:sz w:val="18"/>
        <w:szCs w:val="18"/>
        <w:lang w:eastAsia="pl-PL"/>
      </w:rPr>
    </w:pPr>
    <w:r w:rsidRPr="00ED2562">
      <w:rPr>
        <w:rFonts w:ascii="Times New Roman" w:eastAsia="Times New Roman" w:hAnsi="Times New Roman"/>
        <w:sz w:val="18"/>
        <w:szCs w:val="18"/>
        <w:lang w:eastAsia="pl-PL"/>
      </w:rPr>
      <w:t>Europejski Fundusz Rolny na rzecz Rozwoju Obszarów Wiejskich.</w:t>
    </w:r>
  </w:p>
  <w:p w:rsidR="00CE0839" w:rsidRDefault="00CE0839" w:rsidP="00CE0839">
    <w:pPr>
      <w:tabs>
        <w:tab w:val="center" w:pos="4536"/>
        <w:tab w:val="right" w:pos="9072"/>
      </w:tabs>
      <w:spacing w:after="0" w:line="240" w:lineRule="auto"/>
      <w:jc w:val="center"/>
    </w:pPr>
    <w:r w:rsidRPr="00ED2562">
      <w:rPr>
        <w:rFonts w:ascii="Times New Roman" w:eastAsia="Times New Roman" w:hAnsi="Times New Roman"/>
        <w:sz w:val="18"/>
        <w:szCs w:val="18"/>
        <w:lang w:eastAsia="pl-PL"/>
      </w:rPr>
      <w:t>Europa inwestująca w obszary wiejskie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013" w:rsidRDefault="008D7013" w:rsidP="00CE0839">
      <w:pPr>
        <w:spacing w:after="0" w:line="240" w:lineRule="auto"/>
      </w:pPr>
      <w:r>
        <w:separator/>
      </w:r>
    </w:p>
  </w:footnote>
  <w:footnote w:type="continuationSeparator" w:id="0">
    <w:p w:rsidR="008D7013" w:rsidRDefault="008D7013" w:rsidP="00CE0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839" w:rsidRPr="00ED2562" w:rsidRDefault="00CE0839" w:rsidP="00CE0839">
    <w:pPr>
      <w:pStyle w:val="Nagwek"/>
      <w:rPr>
        <w:rFonts w:ascii="Times New Roman" w:eastAsia="Times New Roman" w:hAnsi="Times New Roman"/>
        <w:sz w:val="24"/>
        <w:szCs w:val="24"/>
        <w:lang w:eastAsia="pl-PL"/>
      </w:rPr>
    </w:pPr>
    <w:r>
      <w:rPr>
        <w:rFonts w:ascii="Times New Roman" w:eastAsia="Times New Roman" w:hAnsi="Times New Roman"/>
        <w:noProof/>
        <w:sz w:val="24"/>
        <w:lang w:eastAsia="pl-PL"/>
      </w:rPr>
      <w:drawing>
        <wp:inline distT="0" distB="0" distL="0" distR="0">
          <wp:extent cx="828675" cy="542925"/>
          <wp:effectExtent l="19050" t="0" r="9525" b="0"/>
          <wp:docPr id="1" name="Obraz 4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flag_yellow_lo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51ED5">
      <w:rPr>
        <w:rFonts w:ascii="Times New Roman" w:eastAsia="Times New Roman" w:hAnsi="Times New Roman"/>
        <w:sz w:val="24"/>
        <w:lang w:eastAsia="pl-PL"/>
      </w:rPr>
      <w:t xml:space="preserve">              </w:t>
    </w:r>
    <w:r>
      <w:rPr>
        <w:rFonts w:ascii="Times New Roman" w:eastAsia="Times New Roman" w:hAnsi="Times New Roman"/>
        <w:noProof/>
        <w:sz w:val="24"/>
        <w:lang w:eastAsia="pl-PL"/>
      </w:rPr>
      <w:drawing>
        <wp:inline distT="0" distB="0" distL="0" distR="0">
          <wp:extent cx="638175" cy="514350"/>
          <wp:effectExtent l="19050" t="0" r="9525" b="0"/>
          <wp:docPr id="2" name="Obraz 3" descr="BD_Logo_Bory_Dolnoslaskie_OK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BD_Logo_Bory_Dolnoslaskie_OK_m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51ED5">
      <w:rPr>
        <w:rFonts w:ascii="Times New Roman" w:eastAsia="Times New Roman" w:hAnsi="Times New Roman"/>
        <w:sz w:val="24"/>
        <w:lang w:eastAsia="pl-PL"/>
      </w:rPr>
      <w:t xml:space="preserve">                        </w:t>
    </w:r>
    <w:r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>
          <wp:extent cx="590550" cy="571500"/>
          <wp:effectExtent l="19050" t="0" r="0" b="0"/>
          <wp:docPr id="3" name="Obraz 2" descr="Leader 07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eader 07-1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/>
        <w:sz w:val="24"/>
        <w:lang w:eastAsia="pl-PL"/>
      </w:rPr>
      <w:t xml:space="preserve">              </w:t>
    </w:r>
    <w:r w:rsidRPr="00D51ED5">
      <w:rPr>
        <w:rFonts w:ascii="Times New Roman" w:eastAsia="Times New Roman" w:hAnsi="Times New Roman"/>
        <w:sz w:val="24"/>
        <w:lang w:eastAsia="pl-PL"/>
      </w:rPr>
      <w:t xml:space="preserve">                </w:t>
    </w:r>
    <w:r>
      <w:rPr>
        <w:noProof/>
        <w:lang w:eastAsia="pl-PL"/>
      </w:rPr>
      <w:drawing>
        <wp:inline distT="0" distB="0" distL="0" distR="0">
          <wp:extent cx="981075" cy="638175"/>
          <wp:effectExtent l="19050" t="0" r="9525" b="0"/>
          <wp:docPr id="4" name="Obraz 1" descr="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ROW-2014-2020-logo-kolor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E0839" w:rsidRDefault="00CE0839">
    <w:pPr>
      <w:pStyle w:val="Nagwek"/>
    </w:pPr>
  </w:p>
  <w:p w:rsidR="00CE0839" w:rsidRDefault="00CE083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0839"/>
    <w:rsid w:val="00070C3C"/>
    <w:rsid w:val="00076313"/>
    <w:rsid w:val="001C75E8"/>
    <w:rsid w:val="003F1F8D"/>
    <w:rsid w:val="00447143"/>
    <w:rsid w:val="00480FBC"/>
    <w:rsid w:val="00512356"/>
    <w:rsid w:val="00514417"/>
    <w:rsid w:val="006F4AF5"/>
    <w:rsid w:val="007B2DA0"/>
    <w:rsid w:val="008362EC"/>
    <w:rsid w:val="008D7013"/>
    <w:rsid w:val="00AE71F3"/>
    <w:rsid w:val="00AF4420"/>
    <w:rsid w:val="00CE0839"/>
    <w:rsid w:val="00CF5603"/>
    <w:rsid w:val="00DA53ED"/>
    <w:rsid w:val="00DF1071"/>
    <w:rsid w:val="00E6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09675C-62F0-478D-8906-9A403C1BF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083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0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083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E0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083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0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83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274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Urszula Antonczyk</cp:lastModifiedBy>
  <cp:revision>9</cp:revision>
  <dcterms:created xsi:type="dcterms:W3CDTF">2016-11-22T11:43:00Z</dcterms:created>
  <dcterms:modified xsi:type="dcterms:W3CDTF">2016-12-04T13:12:00Z</dcterms:modified>
</cp:coreProperties>
</file>