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49" w:rsidRDefault="00624049" w:rsidP="00624049">
      <w:pPr>
        <w:spacing w:after="0"/>
        <w:jc w:val="right"/>
        <w:rPr>
          <w:rFonts w:ascii="Times New Roman" w:hAnsi="Times New Roman"/>
          <w:b/>
          <w:sz w:val="24"/>
          <w:szCs w:val="24"/>
        </w:rPr>
      </w:pPr>
      <w:r w:rsidRPr="00F9442F">
        <w:rPr>
          <w:rFonts w:ascii="Times New Roman" w:hAnsi="Times New Roman"/>
          <w:b/>
          <w:sz w:val="24"/>
          <w:szCs w:val="24"/>
        </w:rPr>
        <w:t xml:space="preserve">Załącznik nr </w:t>
      </w:r>
      <w:r>
        <w:rPr>
          <w:rFonts w:ascii="Times New Roman" w:hAnsi="Times New Roman"/>
          <w:b/>
          <w:sz w:val="24"/>
          <w:szCs w:val="24"/>
        </w:rPr>
        <w:t>2</w:t>
      </w:r>
      <w:r w:rsidRPr="00F9442F">
        <w:rPr>
          <w:rFonts w:ascii="Times New Roman" w:hAnsi="Times New Roman"/>
          <w:b/>
          <w:sz w:val="24"/>
          <w:szCs w:val="24"/>
        </w:rPr>
        <w:t xml:space="preserve"> do ogłoszenia o naborze Nr </w:t>
      </w:r>
      <w:r w:rsidR="002E43CF">
        <w:rPr>
          <w:rFonts w:ascii="Times New Roman" w:hAnsi="Times New Roman"/>
          <w:b/>
          <w:sz w:val="24"/>
          <w:szCs w:val="24"/>
        </w:rPr>
        <w:t>6</w:t>
      </w:r>
      <w:bookmarkStart w:id="0" w:name="_GoBack"/>
      <w:bookmarkEnd w:id="0"/>
      <w:r w:rsidRPr="00F9442F">
        <w:rPr>
          <w:rFonts w:ascii="Times New Roman" w:hAnsi="Times New Roman"/>
          <w:b/>
          <w:sz w:val="24"/>
          <w:szCs w:val="24"/>
        </w:rPr>
        <w:t>/2017</w:t>
      </w:r>
    </w:p>
    <w:p w:rsidR="00624049" w:rsidRPr="00F9442F" w:rsidRDefault="00624049" w:rsidP="00624049">
      <w:pPr>
        <w:spacing w:after="0"/>
        <w:jc w:val="right"/>
        <w:rPr>
          <w:rFonts w:ascii="Times New Roman" w:hAnsi="Times New Roman"/>
          <w:b/>
          <w:sz w:val="24"/>
          <w:szCs w:val="24"/>
        </w:rPr>
      </w:pPr>
    </w:p>
    <w:p w:rsidR="00624049" w:rsidRPr="00F3303B" w:rsidRDefault="00624049" w:rsidP="00624049">
      <w:pPr>
        <w:spacing w:after="0" w:line="240" w:lineRule="auto"/>
        <w:ind w:left="-71"/>
        <w:rPr>
          <w:rFonts w:ascii="Times New Roman" w:eastAsia="Times New Roman" w:hAnsi="Times New Roman"/>
          <w:b/>
          <w:lang w:eastAsia="pl-PL"/>
        </w:rPr>
      </w:pPr>
      <w:r w:rsidRPr="00D22D35">
        <w:rPr>
          <w:rFonts w:ascii="Times New Roman" w:hAnsi="Times New Roman"/>
          <w:b/>
        </w:rPr>
        <w:t xml:space="preserve">Kryteria wyboru operacji dla celu 1 - </w:t>
      </w:r>
      <w:r w:rsidRPr="00D22D35">
        <w:rPr>
          <w:rFonts w:ascii="Times New Roman" w:eastAsia="Times New Roman" w:hAnsi="Times New Roman"/>
          <w:b/>
          <w:lang w:eastAsia="pl-PL"/>
        </w:rPr>
        <w:t>Pobudzanie lokalnej przedsiębiorczości</w:t>
      </w:r>
    </w:p>
    <w:tbl>
      <w:tblPr>
        <w:tblpPr w:leftFromText="141" w:rightFromText="141" w:vertAnchor="text" w:horzAnchor="margin" w:tblpXSpec="center" w:tblpY="13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842"/>
        <w:gridCol w:w="3969"/>
        <w:gridCol w:w="2414"/>
      </w:tblGrid>
      <w:tr w:rsidR="00FA7223" w:rsidRPr="007B368F" w:rsidTr="00B762C5">
        <w:tc>
          <w:tcPr>
            <w:tcW w:w="1272" w:type="dxa"/>
            <w:shd w:val="clear" w:color="auto" w:fill="F2F2F2"/>
            <w:vAlign w:val="center"/>
          </w:tcPr>
          <w:p w:rsidR="00FA7223" w:rsidRPr="00DF21A7" w:rsidRDefault="00FA7223" w:rsidP="00B762C5">
            <w:pPr>
              <w:spacing w:after="0" w:line="240" w:lineRule="auto"/>
              <w:jc w:val="center"/>
              <w:rPr>
                <w:rFonts w:ascii="Times New Roman" w:eastAsia="Times New Roman" w:hAnsi="Times New Roman"/>
                <w:b/>
                <w:lang w:eastAsia="pl-PL"/>
              </w:rPr>
            </w:pPr>
            <w:r w:rsidRPr="00DF21A7">
              <w:rPr>
                <w:rFonts w:ascii="Times New Roman" w:eastAsia="Times New Roman" w:hAnsi="Times New Roman"/>
                <w:b/>
                <w:lang w:eastAsia="pl-PL"/>
              </w:rPr>
              <w:t>Nazwa kryterium wyboru operacji</w:t>
            </w:r>
          </w:p>
        </w:tc>
        <w:tc>
          <w:tcPr>
            <w:tcW w:w="1842" w:type="dxa"/>
            <w:shd w:val="clear" w:color="auto" w:fill="F2F2F2"/>
            <w:vAlign w:val="center"/>
          </w:tcPr>
          <w:p w:rsidR="00FA7223" w:rsidRPr="00DF21A7" w:rsidRDefault="00FA7223" w:rsidP="00B762C5">
            <w:pPr>
              <w:spacing w:after="0" w:line="240" w:lineRule="auto"/>
              <w:rPr>
                <w:rFonts w:ascii="Times New Roman" w:eastAsia="Times New Roman" w:hAnsi="Times New Roman"/>
                <w:b/>
                <w:lang w:eastAsia="pl-PL"/>
              </w:rPr>
            </w:pPr>
            <w:r w:rsidRPr="00DF21A7">
              <w:rPr>
                <w:rFonts w:ascii="Times New Roman" w:eastAsia="Times New Roman" w:hAnsi="Times New Roman"/>
                <w:b/>
                <w:lang w:eastAsia="pl-PL"/>
              </w:rPr>
              <w:t>Liczba przyznanych punktów</w:t>
            </w:r>
          </w:p>
        </w:tc>
        <w:tc>
          <w:tcPr>
            <w:tcW w:w="3969" w:type="dxa"/>
            <w:shd w:val="clear" w:color="auto" w:fill="F2F2F2"/>
            <w:vAlign w:val="center"/>
          </w:tcPr>
          <w:p w:rsidR="00FA7223" w:rsidRPr="00DF21A7" w:rsidRDefault="00FA7223" w:rsidP="00B762C5">
            <w:pPr>
              <w:spacing w:after="0" w:line="240" w:lineRule="auto"/>
              <w:jc w:val="center"/>
              <w:rPr>
                <w:rFonts w:ascii="Times New Roman" w:eastAsia="Times New Roman" w:hAnsi="Times New Roman"/>
                <w:b/>
                <w:lang w:eastAsia="pl-PL"/>
              </w:rPr>
            </w:pPr>
            <w:r w:rsidRPr="00DF21A7">
              <w:rPr>
                <w:rFonts w:ascii="Times New Roman" w:eastAsia="Tahoma" w:hAnsi="Times New Roman"/>
                <w:b/>
                <w:lang w:eastAsia="ar-SA"/>
              </w:rPr>
              <w:t>Opis / potencjalne oddziaływanie</w:t>
            </w:r>
          </w:p>
        </w:tc>
        <w:tc>
          <w:tcPr>
            <w:tcW w:w="2414" w:type="dxa"/>
            <w:shd w:val="clear" w:color="auto" w:fill="F2F2F2"/>
            <w:vAlign w:val="center"/>
          </w:tcPr>
          <w:p w:rsidR="00FA7223" w:rsidRPr="00DF21A7" w:rsidRDefault="00FA7223" w:rsidP="00B762C5">
            <w:pPr>
              <w:spacing w:after="0" w:line="240" w:lineRule="auto"/>
              <w:jc w:val="center"/>
              <w:rPr>
                <w:rFonts w:ascii="Times New Roman" w:eastAsia="Times New Roman" w:hAnsi="Times New Roman"/>
                <w:b/>
                <w:lang w:eastAsia="pl-PL"/>
              </w:rPr>
            </w:pPr>
            <w:r w:rsidRPr="00DF21A7">
              <w:rPr>
                <w:rFonts w:ascii="Times New Roman" w:eastAsia="Times New Roman" w:hAnsi="Times New Roman"/>
                <w:b/>
                <w:lang w:eastAsia="pl-PL"/>
              </w:rPr>
              <w:t>Odniesienie do Diagnozy</w:t>
            </w:r>
          </w:p>
        </w:tc>
      </w:tr>
      <w:tr w:rsidR="00FA7223" w:rsidRPr="007B368F" w:rsidTr="00B762C5">
        <w:tc>
          <w:tcPr>
            <w:tcW w:w="1272" w:type="dxa"/>
            <w:shd w:val="clear" w:color="auto" w:fill="auto"/>
            <w:vAlign w:val="center"/>
          </w:tcPr>
          <w:p w:rsidR="00FA7223" w:rsidRPr="00DF21A7" w:rsidRDefault="00FA7223" w:rsidP="00B762C5">
            <w:pPr>
              <w:pStyle w:val="Akapitzlist"/>
              <w:numPr>
                <w:ilvl w:val="0"/>
                <w:numId w:val="2"/>
              </w:numPr>
              <w:tabs>
                <w:tab w:val="left" w:pos="426"/>
              </w:tabs>
              <w:spacing w:after="0" w:line="240" w:lineRule="auto"/>
              <w:ind w:left="0" w:firstLine="142"/>
              <w:jc w:val="center"/>
              <w:rPr>
                <w:rFonts w:ascii="Times New Roman" w:hAnsi="Times New Roman"/>
                <w:b/>
                <w:color w:val="000000"/>
              </w:rPr>
            </w:pPr>
            <w:r w:rsidRPr="00DF21A7">
              <w:rPr>
                <w:rFonts w:ascii="Times New Roman" w:hAnsi="Times New Roman"/>
                <w:b/>
                <w:color w:val="000000"/>
              </w:rPr>
              <w:t>Czy planowane działania sprzyjają ochronie środowiska i klimatu ?</w:t>
            </w:r>
          </w:p>
        </w:tc>
        <w:tc>
          <w:tcPr>
            <w:tcW w:w="1842" w:type="dxa"/>
            <w:shd w:val="clear" w:color="auto" w:fill="auto"/>
            <w:vAlign w:val="center"/>
          </w:tcPr>
          <w:p w:rsidR="00FA7223" w:rsidRPr="00DF21A7" w:rsidRDefault="00FA7223" w:rsidP="00B762C5">
            <w:pPr>
              <w:pStyle w:val="Akapitzlist"/>
              <w:numPr>
                <w:ilvl w:val="0"/>
                <w:numId w:val="4"/>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Nie sprzyjają</w:t>
            </w:r>
          </w:p>
          <w:p w:rsidR="00FA7223" w:rsidRPr="00DF21A7" w:rsidRDefault="00FA7223"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- 0 pkt</w:t>
            </w:r>
          </w:p>
          <w:p w:rsidR="00FA7223" w:rsidRPr="00DF21A7" w:rsidRDefault="00FA7223" w:rsidP="00B762C5">
            <w:pPr>
              <w:spacing w:after="0" w:line="240" w:lineRule="auto"/>
              <w:ind w:left="214"/>
              <w:rPr>
                <w:rFonts w:ascii="Times New Roman" w:eastAsia="Times New Roman" w:hAnsi="Times New Roman"/>
                <w:color w:val="000000"/>
                <w:lang w:eastAsia="pl-PL"/>
              </w:rPr>
            </w:pPr>
          </w:p>
          <w:p w:rsidR="00FA7223" w:rsidRPr="00DF21A7" w:rsidRDefault="00FA7223" w:rsidP="00B762C5">
            <w:pPr>
              <w:pStyle w:val="Akapitzlist"/>
              <w:numPr>
                <w:ilvl w:val="0"/>
                <w:numId w:val="4"/>
              </w:numPr>
              <w:spacing w:after="0" w:line="240" w:lineRule="auto"/>
              <w:ind w:left="246" w:hanging="246"/>
              <w:rPr>
                <w:rFonts w:ascii="Times New Roman" w:eastAsia="Times New Roman" w:hAnsi="Times New Roman"/>
                <w:b/>
                <w:color w:val="000000"/>
                <w:u w:val="single"/>
                <w:lang w:eastAsia="pl-PL"/>
              </w:rPr>
            </w:pPr>
            <w:r w:rsidRPr="00DF21A7">
              <w:rPr>
                <w:rFonts w:ascii="Times New Roman" w:eastAsia="Times New Roman" w:hAnsi="Times New Roman"/>
                <w:color w:val="000000"/>
                <w:lang w:eastAsia="pl-PL"/>
              </w:rPr>
              <w:t xml:space="preserve">Sprzyjają </w:t>
            </w:r>
          </w:p>
          <w:p w:rsidR="00FA7223" w:rsidRPr="00DF21A7" w:rsidRDefault="00FA7223" w:rsidP="00B762C5">
            <w:pPr>
              <w:spacing w:after="0" w:line="240" w:lineRule="auto"/>
              <w:rPr>
                <w:rFonts w:ascii="Times New Roman" w:eastAsia="Times New Roman" w:hAnsi="Times New Roman"/>
                <w:b/>
                <w:color w:val="000000"/>
                <w:u w:val="single"/>
                <w:lang w:eastAsia="pl-PL"/>
              </w:rPr>
            </w:pPr>
            <w:r w:rsidRPr="00DF21A7">
              <w:rPr>
                <w:rFonts w:ascii="Times New Roman" w:eastAsia="Times New Roman" w:hAnsi="Times New Roman"/>
                <w:color w:val="000000"/>
                <w:lang w:eastAsia="pl-PL"/>
              </w:rPr>
              <w:t xml:space="preserve">    </w:t>
            </w:r>
            <w:r w:rsidRPr="00DF21A7">
              <w:rPr>
                <w:rFonts w:ascii="Times New Roman" w:eastAsia="Times New Roman" w:hAnsi="Times New Roman"/>
                <w:b/>
                <w:color w:val="000000"/>
                <w:lang w:eastAsia="pl-PL"/>
              </w:rPr>
              <w:t>- 9 pkt</w:t>
            </w:r>
          </w:p>
        </w:tc>
        <w:tc>
          <w:tcPr>
            <w:tcW w:w="3969" w:type="dxa"/>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Preferowane będą te operacje, których realizacja przyczyni się w różnym stopniu do ochrony środowiska lub będą przeciwdziałać zmianom klimatu.</w:t>
            </w:r>
            <w:r w:rsidRPr="00DF21A7">
              <w:rPr>
                <w:rFonts w:ascii="Times New Roman" w:hAnsi="Times New Roman"/>
                <w:color w:val="000000"/>
              </w:rPr>
              <w:t xml:space="preserve"> Punktowane będą operacje zawierające elementy ograniczające emisję szkodliwych pyłów, zanieczyszczeń oraz odpadów, ograniczające wykorzystanie energii lub operacje zakładające wykorzystanie lub promowanie rozwiązań opartych na odnawialnych źródłach energii.  </w:t>
            </w:r>
            <w:r w:rsidRPr="00DF21A7">
              <w:rPr>
                <w:rFonts w:ascii="Times New Roman" w:eastAsia="Times New Roman" w:hAnsi="Times New Roman"/>
                <w:color w:val="000000"/>
                <w:lang w:eastAsia="pl-PL"/>
              </w:rPr>
              <w:t>Za działania sprzyjające ochronie środowiska uznane będą również te inwestycje, w których zaplanowano wykorzystanie materiałów sprzyjających środowisku. Tym sposobem LGD wpłynie na wzrost świadomości mieszkańców dotyczących potrzeby ochrony środowiska. Poza tym realizacja takich operacji pozytywnie wpłynie na jego jakość.</w:t>
            </w:r>
          </w:p>
          <w:p w:rsidR="00FA7223" w:rsidRPr="00DF21A7" w:rsidRDefault="00FA7223" w:rsidP="00B762C5">
            <w:pPr>
              <w:spacing w:after="0" w:line="240" w:lineRule="auto"/>
              <w:jc w:val="center"/>
              <w:rPr>
                <w:rFonts w:ascii="Times New Roman" w:eastAsia="Times New Roman" w:hAnsi="Times New Roman"/>
                <w:color w:val="000000"/>
                <w:lang w:eastAsia="pl-PL"/>
              </w:rPr>
            </w:pPr>
          </w:p>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Kryterium weryfikowane  będzie  na  podstawie  zapisów w biznesplanie</w:t>
            </w:r>
          </w:p>
        </w:tc>
        <w:tc>
          <w:tcPr>
            <w:tcW w:w="2414" w:type="dxa"/>
            <w:shd w:val="clear" w:color="auto" w:fill="auto"/>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Potrzeba podejmowania działań sprzyjających zachowaniu przyrody i zachowaniu różnorodnych form jej ochrony, w tym działań minimalizujących skutki złego wpływu na środowisko opisane zostały w Rozdziale III – Diagnoza pkt 8</w:t>
            </w:r>
          </w:p>
        </w:tc>
      </w:tr>
      <w:tr w:rsidR="00FA7223" w:rsidRPr="007B368F" w:rsidTr="00B762C5">
        <w:tc>
          <w:tcPr>
            <w:tcW w:w="1272" w:type="dxa"/>
            <w:shd w:val="clear" w:color="auto" w:fill="auto"/>
            <w:vAlign w:val="center"/>
          </w:tcPr>
          <w:p w:rsidR="00FA7223" w:rsidRPr="00DF21A7" w:rsidRDefault="00FA7223" w:rsidP="00B762C5">
            <w:pPr>
              <w:pStyle w:val="Akapitzlist"/>
              <w:tabs>
                <w:tab w:val="left" w:pos="709"/>
              </w:tabs>
              <w:spacing w:after="0" w:line="240" w:lineRule="auto"/>
              <w:ind w:left="0"/>
              <w:jc w:val="center"/>
              <w:rPr>
                <w:rFonts w:ascii="Times New Roman" w:hAnsi="Times New Roman"/>
                <w:b/>
                <w:color w:val="000000"/>
              </w:rPr>
            </w:pPr>
            <w:r w:rsidRPr="00DF21A7">
              <w:rPr>
                <w:rFonts w:ascii="Times New Roman" w:hAnsi="Times New Roman"/>
                <w:b/>
                <w:color w:val="000000"/>
              </w:rPr>
              <w:t xml:space="preserve">2. Wnioskodawca zobowiązuje się do poinformowania lokalnej społeczności o fakcie otrzymania dofinansowania poprzez Stowarzyszenie Lokalna Grupa Działania </w:t>
            </w:r>
            <w:r w:rsidRPr="00DF21A7">
              <w:rPr>
                <w:rFonts w:ascii="Times New Roman" w:hAnsi="Times New Roman"/>
                <w:b/>
                <w:color w:val="000000"/>
              </w:rPr>
              <w:lastRenderedPageBreak/>
              <w:t>Bory Dolnośląskie ?</w:t>
            </w:r>
          </w:p>
        </w:tc>
        <w:tc>
          <w:tcPr>
            <w:tcW w:w="1842" w:type="dxa"/>
            <w:shd w:val="clear" w:color="auto" w:fill="auto"/>
            <w:vAlign w:val="center"/>
          </w:tcPr>
          <w:p w:rsidR="00FA7223" w:rsidRPr="00DF21A7" w:rsidRDefault="00FA7223" w:rsidP="00B762C5">
            <w:pPr>
              <w:pStyle w:val="Akapitzlist"/>
              <w:numPr>
                <w:ilvl w:val="0"/>
                <w:numId w:val="1"/>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lastRenderedPageBreak/>
              <w:t xml:space="preserve">Nie zobowiązuje się do informowania </w:t>
            </w:r>
          </w:p>
          <w:p w:rsidR="00FA7223" w:rsidRPr="00DF21A7" w:rsidRDefault="00FA7223"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color w:val="000000"/>
                <w:lang w:eastAsia="pl-PL"/>
              </w:rPr>
              <w:t xml:space="preserve"> </w:t>
            </w:r>
            <w:r w:rsidRPr="00DF21A7">
              <w:rPr>
                <w:rFonts w:ascii="Times New Roman" w:eastAsia="Times New Roman" w:hAnsi="Times New Roman"/>
                <w:b/>
                <w:color w:val="000000"/>
                <w:lang w:eastAsia="pl-PL"/>
              </w:rPr>
              <w:t>- 0 pkt</w:t>
            </w:r>
          </w:p>
          <w:p w:rsidR="00FA7223" w:rsidRPr="00DF21A7" w:rsidRDefault="00FA7223" w:rsidP="00B762C5">
            <w:pPr>
              <w:spacing w:after="0" w:line="240" w:lineRule="auto"/>
              <w:ind w:left="214"/>
              <w:rPr>
                <w:rFonts w:ascii="Times New Roman" w:eastAsia="Times New Roman" w:hAnsi="Times New Roman"/>
                <w:color w:val="000000"/>
                <w:lang w:eastAsia="pl-PL"/>
              </w:rPr>
            </w:pPr>
          </w:p>
          <w:p w:rsidR="00FA7223" w:rsidRPr="00DF21A7" w:rsidRDefault="00FA7223" w:rsidP="00B762C5">
            <w:pPr>
              <w:spacing w:after="0" w:line="240" w:lineRule="auto"/>
              <w:ind w:left="214"/>
              <w:rPr>
                <w:rFonts w:ascii="Times New Roman" w:eastAsia="Times New Roman" w:hAnsi="Times New Roman"/>
                <w:color w:val="000000"/>
                <w:lang w:eastAsia="pl-PL"/>
              </w:rPr>
            </w:pPr>
          </w:p>
          <w:p w:rsidR="00FA7223" w:rsidRPr="00DF21A7" w:rsidRDefault="00FA7223" w:rsidP="00B762C5">
            <w:pPr>
              <w:pStyle w:val="Akapitzlist"/>
              <w:numPr>
                <w:ilvl w:val="0"/>
                <w:numId w:val="1"/>
              </w:numPr>
              <w:tabs>
                <w:tab w:val="left" w:pos="246"/>
              </w:tabs>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Zobowiązuje się do informowania </w:t>
            </w:r>
          </w:p>
          <w:p w:rsidR="00FA7223" w:rsidRPr="00DF21A7" w:rsidRDefault="00FA7223"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color w:val="000000"/>
                <w:lang w:eastAsia="pl-PL"/>
              </w:rPr>
              <w:t xml:space="preserve"> </w:t>
            </w:r>
            <w:r w:rsidRPr="00DF21A7">
              <w:rPr>
                <w:rFonts w:ascii="Times New Roman" w:eastAsia="Times New Roman" w:hAnsi="Times New Roman"/>
                <w:b/>
                <w:color w:val="000000"/>
                <w:lang w:eastAsia="pl-PL"/>
              </w:rPr>
              <w:t>- 1 pkt</w:t>
            </w:r>
          </w:p>
        </w:tc>
        <w:tc>
          <w:tcPr>
            <w:tcW w:w="3969" w:type="dxa"/>
            <w:vAlign w:val="center"/>
          </w:tcPr>
          <w:p w:rsidR="00FA7223" w:rsidRPr="00DF21A7" w:rsidRDefault="00FA7223" w:rsidP="00B762C5">
            <w:pPr>
              <w:spacing w:after="0" w:line="240" w:lineRule="auto"/>
              <w:contextualSpacing/>
              <w:jc w:val="center"/>
              <w:rPr>
                <w:rFonts w:ascii="Times New Roman" w:hAnsi="Times New Roman"/>
                <w:color w:val="000000"/>
              </w:rPr>
            </w:pPr>
            <w:r w:rsidRPr="00DF21A7">
              <w:rPr>
                <w:rFonts w:ascii="Times New Roman" w:hAnsi="Times New Roman"/>
                <w:color w:val="000000"/>
              </w:rPr>
              <w:t>LGD będzie premiować te projekty, których Wnioskodawcy zobowiążą się do informowania, że wsparcie na realizację operacji otrzymali za pośrednictwem Stowarzyszenia LGD Bory Dolnośląskie. Realizacja tego kryterium ma przyczynić się do zwiększenia rozpoznawalności Lokalnej Grupy Działania i tym samym wpłynąć na liczbę mieszańców zaangażowanych we wdrażanie Lokalnej Strategii Rozwoju Borów Dolnośląskich.</w:t>
            </w:r>
          </w:p>
          <w:p w:rsidR="00FA7223" w:rsidRPr="00DF21A7" w:rsidRDefault="00FA7223" w:rsidP="00B762C5">
            <w:pPr>
              <w:spacing w:after="0" w:line="240" w:lineRule="auto"/>
              <w:contextualSpacing/>
              <w:jc w:val="center"/>
              <w:rPr>
                <w:rFonts w:ascii="Times New Roman" w:hAnsi="Times New Roman"/>
                <w:color w:val="000000"/>
              </w:rPr>
            </w:pPr>
          </w:p>
          <w:p w:rsidR="00FA7223" w:rsidRPr="00DF21A7" w:rsidRDefault="00FA7223" w:rsidP="00B762C5">
            <w:pPr>
              <w:spacing w:after="0" w:line="240" w:lineRule="auto"/>
              <w:ind w:left="48"/>
              <w:contextualSpacing/>
              <w:jc w:val="center"/>
              <w:rPr>
                <w:rFonts w:ascii="Times New Roman" w:hAnsi="Times New Roman"/>
                <w:color w:val="000000"/>
              </w:rPr>
            </w:pPr>
            <w:r w:rsidRPr="00DF21A7">
              <w:rPr>
                <w:rFonts w:ascii="Times New Roman" w:hAnsi="Times New Roman"/>
                <w:color w:val="000000"/>
              </w:rPr>
              <w:t>Kryterium będzie weryfikowane na  podstawie  złożonego oświadczenia.</w:t>
            </w:r>
          </w:p>
        </w:tc>
        <w:tc>
          <w:tcPr>
            <w:tcW w:w="2414" w:type="dxa"/>
            <w:shd w:val="clear" w:color="auto" w:fill="auto"/>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Niewielki poziom rozpoznawalności działań, które zostały sfinansowane ze środków LGD opisane zostały w Rozdziale III – Diagnoza pkt 1.1</w:t>
            </w:r>
          </w:p>
        </w:tc>
      </w:tr>
      <w:tr w:rsidR="00FA7223" w:rsidRPr="007B368F" w:rsidTr="00B762C5">
        <w:tc>
          <w:tcPr>
            <w:tcW w:w="1272" w:type="dxa"/>
            <w:shd w:val="clear" w:color="auto" w:fill="auto"/>
            <w:vAlign w:val="center"/>
          </w:tcPr>
          <w:p w:rsidR="00FA7223" w:rsidRPr="00DF21A7" w:rsidRDefault="00FA7223" w:rsidP="00B762C5">
            <w:pPr>
              <w:pStyle w:val="Akapitzlist"/>
              <w:tabs>
                <w:tab w:val="left" w:pos="709"/>
              </w:tabs>
              <w:spacing w:after="0" w:line="240" w:lineRule="auto"/>
              <w:ind w:left="0"/>
              <w:jc w:val="center"/>
              <w:rPr>
                <w:rFonts w:ascii="Times New Roman" w:hAnsi="Times New Roman"/>
                <w:b/>
                <w:color w:val="000000"/>
              </w:rPr>
            </w:pPr>
            <w:r w:rsidRPr="00DF21A7">
              <w:rPr>
                <w:rFonts w:ascii="Times New Roman" w:hAnsi="Times New Roman"/>
                <w:b/>
                <w:color w:val="000000"/>
              </w:rPr>
              <w:t>3. Innowacyjność operacji</w:t>
            </w:r>
          </w:p>
        </w:tc>
        <w:tc>
          <w:tcPr>
            <w:tcW w:w="1842" w:type="dxa"/>
            <w:shd w:val="clear" w:color="auto" w:fill="auto"/>
            <w:vAlign w:val="center"/>
          </w:tcPr>
          <w:p w:rsidR="00FA7223" w:rsidRPr="00DF21A7" w:rsidRDefault="00FA7223" w:rsidP="00B762C5">
            <w:pPr>
              <w:spacing w:after="0" w:line="240" w:lineRule="auto"/>
              <w:ind w:left="214"/>
              <w:rPr>
                <w:rFonts w:ascii="Times New Roman" w:eastAsia="Times New Roman" w:hAnsi="Times New Roman"/>
                <w:color w:val="000000"/>
                <w:lang w:eastAsia="pl-PL"/>
              </w:rPr>
            </w:pPr>
          </w:p>
          <w:p w:rsidR="00FA7223" w:rsidRPr="00DF21A7" w:rsidRDefault="00FA7223" w:rsidP="00B762C5">
            <w:pPr>
              <w:pStyle w:val="Akapitzlist"/>
              <w:numPr>
                <w:ilvl w:val="0"/>
                <w:numId w:val="1"/>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Działanie nie posiada innowacyjnego charakteru</w:t>
            </w:r>
          </w:p>
          <w:p w:rsidR="00FA7223" w:rsidRPr="00DF21A7" w:rsidRDefault="00FA7223"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- 0 pkt</w:t>
            </w:r>
          </w:p>
          <w:p w:rsidR="00FA7223" w:rsidRPr="00DF21A7" w:rsidRDefault="00FA7223" w:rsidP="00B762C5">
            <w:pPr>
              <w:spacing w:after="0" w:line="240" w:lineRule="auto"/>
              <w:ind w:left="214"/>
              <w:rPr>
                <w:rFonts w:ascii="Times New Roman" w:eastAsia="Times New Roman" w:hAnsi="Times New Roman"/>
                <w:color w:val="000000"/>
                <w:lang w:eastAsia="pl-PL"/>
              </w:rPr>
            </w:pPr>
          </w:p>
          <w:p w:rsidR="00FA7223" w:rsidRPr="00DF21A7" w:rsidRDefault="00FA7223" w:rsidP="00B762C5">
            <w:pPr>
              <w:pStyle w:val="Akapitzlist"/>
              <w:numPr>
                <w:ilvl w:val="0"/>
                <w:numId w:val="1"/>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Działanie posiada innowacyjny charakter</w:t>
            </w:r>
          </w:p>
          <w:p w:rsidR="00FA7223" w:rsidRPr="00DF21A7" w:rsidRDefault="00FA7223" w:rsidP="00B762C5">
            <w:pPr>
              <w:spacing w:after="0" w:line="240" w:lineRule="auto"/>
              <w:ind w:left="214"/>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 </w:t>
            </w:r>
            <w:r w:rsidRPr="00DF21A7">
              <w:rPr>
                <w:rFonts w:ascii="Times New Roman" w:eastAsia="Times New Roman" w:hAnsi="Times New Roman"/>
                <w:b/>
                <w:color w:val="000000"/>
                <w:lang w:eastAsia="pl-PL"/>
              </w:rPr>
              <w:t>9 pkt</w:t>
            </w:r>
          </w:p>
        </w:tc>
        <w:tc>
          <w:tcPr>
            <w:tcW w:w="3969" w:type="dxa"/>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Innowacyjność - oznacza wprowadzanie nowego lub znacząco udoskonalonego produktu (wyrobu lub usługi), nowego procesu, nowej metody organizacji lub nowej metody promocji.</w:t>
            </w:r>
          </w:p>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Innowacyjność to także nietypowe, niestandardowe wykorzystanie czy promocja lokalnych zasobów (przyrodniczych, kulturowych, w tym związanych z lokalnym dziedzictwem kulinarnym, tradycjami rzemieślniczymi, lokalnymi opowieściami i legendami, wydarzeniami historycznymi bądź wybitnymi postaciami związanymi z danym obszarem poprzez miejsce urodzenia czy pobytu). Zastosowanie tego kryterium wpłynie na wzrost konkurencyjności oferowanych usług i tym na poprawę ich jakości.</w:t>
            </w:r>
          </w:p>
          <w:p w:rsidR="00FA7223" w:rsidRPr="00DF21A7" w:rsidRDefault="00FA7223" w:rsidP="00B762C5">
            <w:pPr>
              <w:spacing w:after="0" w:line="240" w:lineRule="auto"/>
              <w:jc w:val="center"/>
              <w:rPr>
                <w:rFonts w:ascii="Times New Roman" w:eastAsia="Times New Roman" w:hAnsi="Times New Roman"/>
                <w:color w:val="000000"/>
                <w:lang w:eastAsia="pl-PL"/>
              </w:rPr>
            </w:pPr>
          </w:p>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hAnsi="Times New Roman"/>
                <w:color w:val="000000"/>
              </w:rPr>
              <w:t>Kryterium weryfikowane będzie na podstawie zapisów w biznesplanie</w:t>
            </w:r>
          </w:p>
        </w:tc>
        <w:tc>
          <w:tcPr>
            <w:tcW w:w="2414" w:type="dxa"/>
            <w:shd w:val="clear" w:color="auto" w:fill="auto"/>
            <w:vAlign w:val="center"/>
          </w:tcPr>
          <w:p w:rsidR="00FA7223" w:rsidRPr="00DF21A7" w:rsidRDefault="00FA7223" w:rsidP="00B762C5">
            <w:pPr>
              <w:spacing w:after="0" w:line="240" w:lineRule="auto"/>
              <w:jc w:val="center"/>
              <w:rPr>
                <w:rFonts w:ascii="Times New Roman" w:eastAsia="Times New Roman" w:hAnsi="Times New Roman"/>
                <w:b/>
                <w:color w:val="000000"/>
                <w:u w:val="single"/>
                <w:lang w:eastAsia="pl-PL"/>
              </w:rPr>
            </w:pPr>
            <w:r w:rsidRPr="00DF21A7">
              <w:rPr>
                <w:rFonts w:ascii="Times New Roman" w:eastAsia="Times New Roman" w:hAnsi="Times New Roman"/>
                <w:color w:val="000000"/>
                <w:lang w:eastAsia="pl-PL"/>
              </w:rPr>
              <w:t>Uwzględnienie innowacyjności w kryteriach wyboru zostało opisane w Rozdziale VI –</w:t>
            </w:r>
            <w:r w:rsidRPr="00DF21A7">
              <w:rPr>
                <w:rFonts w:ascii="Times New Roman" w:eastAsia="Times New Roman" w:hAnsi="Times New Roman"/>
                <w:b/>
                <w:bCs/>
                <w:color w:val="000000"/>
                <w:lang w:eastAsia="pl-PL"/>
              </w:rPr>
              <w:t xml:space="preserve"> </w:t>
            </w:r>
            <w:r w:rsidRPr="00DF21A7">
              <w:rPr>
                <w:rFonts w:ascii="Times New Roman" w:eastAsia="Times New Roman" w:hAnsi="Times New Roman"/>
                <w:bCs/>
                <w:color w:val="000000"/>
                <w:lang w:eastAsia="pl-PL"/>
              </w:rPr>
              <w:t>Sposób wyboru i oceny operacji oraz sposób ustanawiania kryteriów wyboru</w:t>
            </w:r>
            <w:r w:rsidRPr="00DF21A7">
              <w:rPr>
                <w:rFonts w:ascii="Times New Roman" w:eastAsia="Times New Roman" w:hAnsi="Times New Roman"/>
                <w:color w:val="000000"/>
                <w:lang w:eastAsia="pl-PL"/>
              </w:rPr>
              <w:t xml:space="preserve"> pkt 3</w:t>
            </w:r>
          </w:p>
        </w:tc>
      </w:tr>
      <w:tr w:rsidR="00FA7223" w:rsidRPr="007B368F" w:rsidTr="00B762C5">
        <w:tc>
          <w:tcPr>
            <w:tcW w:w="1272" w:type="dxa"/>
            <w:shd w:val="clear" w:color="auto" w:fill="auto"/>
            <w:vAlign w:val="center"/>
          </w:tcPr>
          <w:p w:rsidR="00FA7223" w:rsidRPr="00DF21A7" w:rsidRDefault="00FA7223" w:rsidP="00B762C5">
            <w:pPr>
              <w:autoSpaceDE w:val="0"/>
              <w:autoSpaceDN w:val="0"/>
              <w:adjustRightInd w:val="0"/>
              <w:spacing w:after="0" w:line="240" w:lineRule="auto"/>
              <w:jc w:val="center"/>
              <w:rPr>
                <w:rFonts w:ascii="Times New Roman" w:hAnsi="Times New Roman"/>
                <w:b/>
                <w:color w:val="000000"/>
              </w:rPr>
            </w:pPr>
            <w:r w:rsidRPr="00DF21A7">
              <w:rPr>
                <w:rFonts w:ascii="Times New Roman" w:hAnsi="Times New Roman"/>
                <w:b/>
                <w:color w:val="000000"/>
              </w:rPr>
              <w:t>4. Czy podstawą działalności Wnioskodawcy będzie wykorzystanie lokalnych produktów rolnych (lokalnego produktu rolnego – wytwarzanego na obszarze objętym LSR</w:t>
            </w:r>
          </w:p>
        </w:tc>
        <w:tc>
          <w:tcPr>
            <w:tcW w:w="1842" w:type="dxa"/>
            <w:shd w:val="clear" w:color="auto" w:fill="auto"/>
            <w:vAlign w:val="center"/>
          </w:tcPr>
          <w:p w:rsidR="00FA7223" w:rsidRPr="00DF21A7" w:rsidRDefault="00FA7223" w:rsidP="00B762C5">
            <w:pPr>
              <w:numPr>
                <w:ilvl w:val="0"/>
                <w:numId w:val="3"/>
              </w:numPr>
              <w:spacing w:after="0" w:line="240" w:lineRule="auto"/>
              <w:ind w:left="208" w:hanging="208"/>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Nie </w:t>
            </w:r>
            <w:r w:rsidRPr="00DF21A7">
              <w:rPr>
                <w:rFonts w:ascii="Times New Roman" w:eastAsia="Times New Roman" w:hAnsi="Times New Roman"/>
                <w:b/>
                <w:color w:val="000000"/>
                <w:lang w:eastAsia="pl-PL"/>
              </w:rPr>
              <w:t>-</w:t>
            </w:r>
            <w:r w:rsidRPr="00DF21A7">
              <w:rPr>
                <w:rFonts w:ascii="Times New Roman" w:eastAsia="Times New Roman" w:hAnsi="Times New Roman"/>
                <w:color w:val="000000"/>
                <w:lang w:eastAsia="pl-PL"/>
              </w:rPr>
              <w:t xml:space="preserve"> </w:t>
            </w:r>
            <w:r w:rsidRPr="00DF21A7">
              <w:rPr>
                <w:rFonts w:ascii="Times New Roman" w:eastAsia="Times New Roman" w:hAnsi="Times New Roman"/>
                <w:b/>
                <w:color w:val="000000"/>
                <w:lang w:eastAsia="pl-PL"/>
              </w:rPr>
              <w:t>0 pkt</w:t>
            </w:r>
          </w:p>
          <w:p w:rsidR="00FA7223" w:rsidRPr="00DF21A7" w:rsidRDefault="00FA7223" w:rsidP="00B762C5">
            <w:pPr>
              <w:spacing w:after="0" w:line="240" w:lineRule="auto"/>
              <w:ind w:left="208"/>
              <w:rPr>
                <w:rFonts w:ascii="Times New Roman" w:eastAsia="Times New Roman" w:hAnsi="Times New Roman"/>
                <w:color w:val="000000"/>
                <w:lang w:eastAsia="pl-PL"/>
              </w:rPr>
            </w:pPr>
          </w:p>
          <w:p w:rsidR="00FA7223" w:rsidRPr="00DF21A7" w:rsidRDefault="00FA7223" w:rsidP="00B762C5">
            <w:pPr>
              <w:numPr>
                <w:ilvl w:val="0"/>
                <w:numId w:val="3"/>
              </w:numPr>
              <w:spacing w:after="0" w:line="240" w:lineRule="auto"/>
              <w:ind w:left="208" w:hanging="208"/>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Tak </w:t>
            </w:r>
            <w:r w:rsidRPr="00DF21A7">
              <w:rPr>
                <w:rFonts w:ascii="Times New Roman" w:eastAsia="Times New Roman" w:hAnsi="Times New Roman"/>
                <w:b/>
                <w:color w:val="000000"/>
                <w:lang w:eastAsia="pl-PL"/>
              </w:rPr>
              <w:t>-</w:t>
            </w:r>
            <w:r w:rsidRPr="00DF21A7">
              <w:rPr>
                <w:rFonts w:ascii="Times New Roman" w:eastAsia="Times New Roman" w:hAnsi="Times New Roman"/>
                <w:color w:val="000000"/>
                <w:lang w:eastAsia="pl-PL"/>
              </w:rPr>
              <w:t xml:space="preserve"> </w:t>
            </w:r>
            <w:r w:rsidRPr="00DF21A7">
              <w:rPr>
                <w:rFonts w:ascii="Times New Roman" w:eastAsia="Times New Roman" w:hAnsi="Times New Roman"/>
                <w:b/>
                <w:color w:val="000000"/>
                <w:lang w:eastAsia="pl-PL"/>
              </w:rPr>
              <w:t>7 pkt</w:t>
            </w:r>
          </w:p>
        </w:tc>
        <w:tc>
          <w:tcPr>
            <w:tcW w:w="3969" w:type="dxa"/>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Premiowane będą te działania, które zakładać będą wykorzystanie lokalnych produktów rolnych wytwarzanych na obszarze objętym LSR zarówno w celu ich dalszego przetwarzania jak i sprzedaży.</w:t>
            </w:r>
          </w:p>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Mogą to być również inne produkty wytwarzane na obszarze LGD wpisane na listę Produktów Tradycyjnych prowadzoną przez Ministerstwo Rolnictwa i Rozwoju Wsi</w:t>
            </w:r>
          </w:p>
          <w:p w:rsidR="00FA7223" w:rsidRPr="00DF21A7" w:rsidRDefault="00FA7223" w:rsidP="00B762C5">
            <w:pPr>
              <w:spacing w:after="0" w:line="240" w:lineRule="auto"/>
              <w:jc w:val="center"/>
              <w:rPr>
                <w:rFonts w:ascii="Times New Roman" w:eastAsia="Times New Roman" w:hAnsi="Times New Roman"/>
                <w:color w:val="000000"/>
                <w:lang w:eastAsia="pl-PL"/>
              </w:rPr>
            </w:pPr>
          </w:p>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hAnsi="Times New Roman"/>
                <w:color w:val="000000"/>
              </w:rPr>
              <w:t>Kryterium weryfikowane będzie na podstawie zapisów w biznesplanie</w:t>
            </w:r>
          </w:p>
        </w:tc>
        <w:tc>
          <w:tcPr>
            <w:tcW w:w="2414" w:type="dxa"/>
            <w:shd w:val="clear" w:color="auto" w:fill="auto"/>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Opis lokalnych produktów został opisany w Rozdziale III – Diagnoza pkt. 9</w:t>
            </w:r>
          </w:p>
        </w:tc>
      </w:tr>
      <w:tr w:rsidR="00FA7223" w:rsidRPr="007B368F" w:rsidTr="00B762C5">
        <w:tc>
          <w:tcPr>
            <w:tcW w:w="1272" w:type="dxa"/>
            <w:shd w:val="clear" w:color="auto" w:fill="auto"/>
            <w:vAlign w:val="center"/>
          </w:tcPr>
          <w:p w:rsidR="00FA7223" w:rsidRPr="00DF21A7" w:rsidRDefault="00FA7223" w:rsidP="00B762C5">
            <w:pPr>
              <w:spacing w:after="0" w:line="240" w:lineRule="auto"/>
              <w:jc w:val="center"/>
              <w:rPr>
                <w:rFonts w:ascii="Times New Roman" w:hAnsi="Times New Roman"/>
                <w:b/>
                <w:color w:val="000000"/>
              </w:rPr>
            </w:pPr>
            <w:r w:rsidRPr="00DF21A7">
              <w:rPr>
                <w:rFonts w:ascii="Times New Roman" w:hAnsi="Times New Roman"/>
                <w:b/>
                <w:color w:val="000000"/>
              </w:rPr>
              <w:t xml:space="preserve">5. Czy operacja zakłada tworzenie nowych miejsc </w:t>
            </w:r>
            <w:r w:rsidRPr="00DF21A7">
              <w:rPr>
                <w:rFonts w:ascii="Times New Roman" w:hAnsi="Times New Roman"/>
                <w:b/>
                <w:color w:val="000000"/>
              </w:rPr>
              <w:lastRenderedPageBreak/>
              <w:t>pracy</w:t>
            </w:r>
          </w:p>
        </w:tc>
        <w:tc>
          <w:tcPr>
            <w:tcW w:w="1842" w:type="dxa"/>
            <w:shd w:val="clear" w:color="auto" w:fill="auto"/>
            <w:vAlign w:val="center"/>
          </w:tcPr>
          <w:p w:rsidR="00FA7223" w:rsidRPr="00DF21A7" w:rsidRDefault="00FA7223" w:rsidP="00B762C5">
            <w:pPr>
              <w:pStyle w:val="Akapitzlist"/>
              <w:numPr>
                <w:ilvl w:val="0"/>
                <w:numId w:val="5"/>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lastRenderedPageBreak/>
              <w:t xml:space="preserve">Nie - </w:t>
            </w:r>
            <w:r w:rsidRPr="00DF21A7">
              <w:rPr>
                <w:rFonts w:ascii="Times New Roman" w:eastAsia="Times New Roman" w:hAnsi="Times New Roman"/>
                <w:b/>
                <w:color w:val="000000"/>
                <w:lang w:eastAsia="pl-PL"/>
              </w:rPr>
              <w:t>0 pkt</w:t>
            </w:r>
          </w:p>
          <w:p w:rsidR="00FA7223" w:rsidRPr="00DF21A7" w:rsidRDefault="00FA7223" w:rsidP="00B762C5">
            <w:pPr>
              <w:pStyle w:val="Akapitzlist"/>
              <w:spacing w:after="0" w:line="240" w:lineRule="auto"/>
              <w:ind w:left="246"/>
              <w:rPr>
                <w:rFonts w:ascii="Times New Roman" w:eastAsia="Times New Roman" w:hAnsi="Times New Roman"/>
                <w:color w:val="000000"/>
                <w:lang w:eastAsia="pl-PL"/>
              </w:rPr>
            </w:pPr>
          </w:p>
          <w:p w:rsidR="00FA7223" w:rsidRPr="00DF21A7" w:rsidRDefault="00FA7223" w:rsidP="00B762C5">
            <w:pPr>
              <w:pStyle w:val="Akapitzlist"/>
              <w:numPr>
                <w:ilvl w:val="0"/>
                <w:numId w:val="5"/>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Tak - </w:t>
            </w:r>
            <w:r w:rsidRPr="00DF21A7">
              <w:rPr>
                <w:rFonts w:ascii="Times New Roman" w:eastAsia="Times New Roman" w:hAnsi="Times New Roman"/>
                <w:b/>
                <w:color w:val="000000"/>
                <w:lang w:eastAsia="pl-PL"/>
              </w:rPr>
              <w:t>1 pkt</w:t>
            </w:r>
          </w:p>
        </w:tc>
        <w:tc>
          <w:tcPr>
            <w:tcW w:w="3969" w:type="dxa"/>
            <w:vAlign w:val="center"/>
          </w:tcPr>
          <w:p w:rsidR="00FA7223" w:rsidRPr="00DF21A7" w:rsidRDefault="00FA7223"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 xml:space="preserve">Kryterium obowiązkowe. Każda z realizowanych operacji musi zakładać zwiększenie poziomu zatrudnienia i walkę z bezrobociem.  Realizacja LSR ma przyczynić się do wzrostu poziomu zatrudnienia na obszarze LGD i co za </w:t>
            </w:r>
            <w:r w:rsidRPr="00DF21A7">
              <w:rPr>
                <w:rFonts w:ascii="Times New Roman" w:hAnsi="Times New Roman"/>
                <w:color w:val="000000"/>
              </w:rPr>
              <w:lastRenderedPageBreak/>
              <w:t>tym idzie poprawić warunki życia mieszkańców.</w:t>
            </w:r>
          </w:p>
          <w:p w:rsidR="00FA7223" w:rsidRPr="00DF21A7" w:rsidRDefault="00FA7223" w:rsidP="00B762C5">
            <w:pPr>
              <w:spacing w:line="240" w:lineRule="auto"/>
              <w:ind w:left="48"/>
              <w:contextualSpacing/>
              <w:jc w:val="center"/>
              <w:rPr>
                <w:rFonts w:ascii="Times New Roman" w:hAnsi="Times New Roman"/>
                <w:color w:val="000000"/>
              </w:rPr>
            </w:pPr>
          </w:p>
          <w:p w:rsidR="00FA7223" w:rsidRPr="00DF21A7" w:rsidRDefault="00FA7223"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Kryterium weryfikowane będzie na podstawie zapisów w biznesplanie</w:t>
            </w:r>
          </w:p>
        </w:tc>
        <w:tc>
          <w:tcPr>
            <w:tcW w:w="2414" w:type="dxa"/>
            <w:shd w:val="clear" w:color="auto" w:fill="auto"/>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lastRenderedPageBreak/>
              <w:t xml:space="preserve">Opis rynku pracy, w tym określenie grup </w:t>
            </w:r>
            <w:proofErr w:type="spellStart"/>
            <w:r w:rsidRPr="00DF21A7">
              <w:rPr>
                <w:rFonts w:ascii="Times New Roman" w:eastAsia="Times New Roman" w:hAnsi="Times New Roman"/>
                <w:color w:val="000000"/>
                <w:lang w:eastAsia="pl-PL"/>
              </w:rPr>
              <w:t>defaworyzowanych</w:t>
            </w:r>
            <w:proofErr w:type="spellEnd"/>
            <w:r w:rsidRPr="00DF21A7">
              <w:rPr>
                <w:rFonts w:ascii="Times New Roman" w:eastAsia="Times New Roman" w:hAnsi="Times New Roman"/>
                <w:color w:val="000000"/>
                <w:lang w:eastAsia="pl-PL"/>
              </w:rPr>
              <w:t xml:space="preserve"> w stosunku co do których powinna być kierowana pomoc opisane zostały </w:t>
            </w:r>
            <w:r w:rsidRPr="00DF21A7">
              <w:rPr>
                <w:rFonts w:ascii="Times New Roman" w:eastAsia="Times New Roman" w:hAnsi="Times New Roman"/>
                <w:color w:val="000000"/>
                <w:lang w:eastAsia="pl-PL"/>
              </w:rPr>
              <w:lastRenderedPageBreak/>
              <w:t>w Rozdziale III – Diagnoza pkt. 3</w:t>
            </w:r>
          </w:p>
        </w:tc>
      </w:tr>
      <w:tr w:rsidR="00FA7223" w:rsidRPr="007B368F" w:rsidTr="00B762C5">
        <w:tc>
          <w:tcPr>
            <w:tcW w:w="1272" w:type="dxa"/>
            <w:shd w:val="clear" w:color="auto" w:fill="auto"/>
            <w:vAlign w:val="center"/>
          </w:tcPr>
          <w:p w:rsidR="00FA7223" w:rsidRPr="00DF21A7" w:rsidRDefault="00FA7223" w:rsidP="00B762C5">
            <w:pPr>
              <w:spacing w:after="0" w:line="240" w:lineRule="auto"/>
              <w:jc w:val="center"/>
              <w:rPr>
                <w:rFonts w:ascii="Times New Roman" w:hAnsi="Times New Roman"/>
                <w:b/>
                <w:color w:val="000000"/>
              </w:rPr>
            </w:pPr>
            <w:r w:rsidRPr="00DF21A7">
              <w:rPr>
                <w:rFonts w:ascii="Times New Roman" w:hAnsi="Times New Roman"/>
                <w:b/>
                <w:color w:val="000000"/>
              </w:rPr>
              <w:lastRenderedPageBreak/>
              <w:t xml:space="preserve">6. Czy Wnioskodawca zobowiązuje się do utworzenia miejsca pracy dla osób z grup </w:t>
            </w:r>
            <w:proofErr w:type="spellStart"/>
            <w:r w:rsidRPr="00DF21A7">
              <w:rPr>
                <w:rFonts w:ascii="Times New Roman" w:hAnsi="Times New Roman"/>
                <w:b/>
                <w:color w:val="000000"/>
              </w:rPr>
              <w:t>defaworyzowanych</w:t>
            </w:r>
            <w:proofErr w:type="spellEnd"/>
            <w:r w:rsidRPr="00DF21A7">
              <w:rPr>
                <w:rFonts w:ascii="Times New Roman" w:hAnsi="Times New Roman"/>
                <w:b/>
                <w:color w:val="000000"/>
              </w:rPr>
              <w:t xml:space="preserve"> określonych w LSR (tj. kobiety i osoby bezrobotne w wieku 25-44 lat)</w:t>
            </w:r>
          </w:p>
          <w:p w:rsidR="00FA7223" w:rsidRPr="00DF21A7" w:rsidRDefault="00FA7223" w:rsidP="00B762C5">
            <w:pPr>
              <w:autoSpaceDE w:val="0"/>
              <w:autoSpaceDN w:val="0"/>
              <w:adjustRightInd w:val="0"/>
              <w:spacing w:after="0" w:line="240" w:lineRule="auto"/>
              <w:jc w:val="both"/>
              <w:rPr>
                <w:rFonts w:ascii="Times New Roman" w:hAnsi="Times New Roman"/>
                <w:color w:val="000000"/>
              </w:rPr>
            </w:pPr>
            <w:r w:rsidRPr="00DF21A7">
              <w:rPr>
                <w:rFonts w:ascii="Times New Roman" w:hAnsi="Times New Roman"/>
                <w:color w:val="000000"/>
              </w:rPr>
              <w:t>25 lat (liczone jest od dnia, w którym wnioskodawca osiąga wiek 25 lat);</w:t>
            </w:r>
          </w:p>
          <w:p w:rsidR="00FA7223" w:rsidRPr="00DF21A7" w:rsidRDefault="00FA7223" w:rsidP="00B762C5">
            <w:pPr>
              <w:spacing w:after="0" w:line="240" w:lineRule="auto"/>
              <w:jc w:val="center"/>
              <w:rPr>
                <w:rFonts w:ascii="Times New Roman" w:hAnsi="Times New Roman"/>
                <w:color w:val="000000"/>
              </w:rPr>
            </w:pPr>
            <w:r w:rsidRPr="00DF21A7">
              <w:rPr>
                <w:rFonts w:ascii="Times New Roman" w:hAnsi="Times New Roman"/>
                <w:color w:val="000000"/>
              </w:rPr>
              <w:t>44 lata (liczone do dnia poprzedzającego dzień, w którym wnioskodawca osiągnie 45 rok życia)</w:t>
            </w:r>
          </w:p>
        </w:tc>
        <w:tc>
          <w:tcPr>
            <w:tcW w:w="1842" w:type="dxa"/>
            <w:shd w:val="clear" w:color="auto" w:fill="auto"/>
            <w:vAlign w:val="center"/>
          </w:tcPr>
          <w:p w:rsidR="00FA7223" w:rsidRPr="00DF21A7" w:rsidRDefault="00FA7223" w:rsidP="00B762C5">
            <w:pPr>
              <w:pStyle w:val="Akapitzlist"/>
              <w:numPr>
                <w:ilvl w:val="0"/>
                <w:numId w:val="6"/>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Kobieta lub osoba bezrobotna w wieku 25-44 lat </w:t>
            </w:r>
            <w:r w:rsidRPr="00DF21A7">
              <w:rPr>
                <w:rFonts w:ascii="Times New Roman" w:eastAsia="Times New Roman" w:hAnsi="Times New Roman"/>
                <w:b/>
                <w:color w:val="000000"/>
                <w:lang w:eastAsia="pl-PL"/>
              </w:rPr>
              <w:t>– 7 pkt</w:t>
            </w:r>
          </w:p>
          <w:p w:rsidR="00FA7223" w:rsidRPr="00DF21A7" w:rsidRDefault="00FA7223" w:rsidP="00B762C5">
            <w:pPr>
              <w:pStyle w:val="Akapitzlist"/>
              <w:spacing w:after="0" w:line="240" w:lineRule="auto"/>
              <w:ind w:left="246"/>
              <w:rPr>
                <w:rFonts w:ascii="Times New Roman" w:eastAsia="Times New Roman" w:hAnsi="Times New Roman"/>
                <w:color w:val="000000"/>
                <w:lang w:eastAsia="pl-PL"/>
              </w:rPr>
            </w:pPr>
          </w:p>
          <w:p w:rsidR="00FA7223" w:rsidRPr="00DF21A7" w:rsidRDefault="00FA7223" w:rsidP="00B762C5">
            <w:pPr>
              <w:pStyle w:val="Akapitzlist"/>
              <w:numPr>
                <w:ilvl w:val="0"/>
                <w:numId w:val="6"/>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Bezrobotna kobieta w wieku 25-44 lat </w:t>
            </w:r>
            <w:r w:rsidRPr="00DF21A7">
              <w:rPr>
                <w:rFonts w:ascii="Times New Roman" w:eastAsia="Times New Roman" w:hAnsi="Times New Roman"/>
                <w:b/>
                <w:color w:val="000000"/>
                <w:lang w:eastAsia="pl-PL"/>
              </w:rPr>
              <w:t>– 13 pkt</w:t>
            </w:r>
          </w:p>
        </w:tc>
        <w:tc>
          <w:tcPr>
            <w:tcW w:w="3969" w:type="dxa"/>
            <w:vAlign w:val="center"/>
          </w:tcPr>
          <w:p w:rsidR="00FA7223" w:rsidRPr="00DF21A7" w:rsidRDefault="00FA7223"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 xml:space="preserve">Premiowane będą te operacje, które zakładają chęć zatrudnienia osób z  grup </w:t>
            </w:r>
            <w:proofErr w:type="spellStart"/>
            <w:r w:rsidRPr="00DF21A7">
              <w:rPr>
                <w:rFonts w:ascii="Times New Roman" w:hAnsi="Times New Roman"/>
                <w:color w:val="000000"/>
              </w:rPr>
              <w:t>defaworyzowanych</w:t>
            </w:r>
            <w:proofErr w:type="spellEnd"/>
            <w:r w:rsidRPr="00DF21A7">
              <w:rPr>
                <w:rFonts w:ascii="Times New Roman" w:hAnsi="Times New Roman"/>
                <w:color w:val="000000"/>
              </w:rPr>
              <w:t xml:space="preserve">  ze względu na dostęp do rynku pracy określonych w LSR (tj. osoby bezrobotne w wieku 25-44 lat oraz kobiety). Realizacja LSR ma przyczynić się do wsparcia tych osób, oraz zminimalizować negatywne skutki związane z brakiem pracy</w:t>
            </w:r>
          </w:p>
          <w:p w:rsidR="00FA7223" w:rsidRPr="00DF21A7" w:rsidRDefault="00FA7223" w:rsidP="00B762C5">
            <w:pPr>
              <w:spacing w:line="240" w:lineRule="auto"/>
              <w:ind w:left="48"/>
              <w:contextualSpacing/>
              <w:jc w:val="center"/>
              <w:rPr>
                <w:rFonts w:ascii="Times New Roman" w:hAnsi="Times New Roman"/>
                <w:color w:val="000000"/>
              </w:rPr>
            </w:pPr>
          </w:p>
          <w:p w:rsidR="00FA7223" w:rsidRPr="00DF21A7" w:rsidRDefault="00FA7223"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Kryterium będzie weryfikowane na  podstawie  zapisów w dokumentach aplikacyjnych w tym zapisów w biznesplanie</w:t>
            </w:r>
          </w:p>
        </w:tc>
        <w:tc>
          <w:tcPr>
            <w:tcW w:w="2414" w:type="dxa"/>
            <w:shd w:val="clear" w:color="auto" w:fill="auto"/>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Opis rynku pracy, w tym określenie grup </w:t>
            </w:r>
            <w:proofErr w:type="spellStart"/>
            <w:r w:rsidRPr="00DF21A7">
              <w:rPr>
                <w:rFonts w:ascii="Times New Roman" w:eastAsia="Times New Roman" w:hAnsi="Times New Roman"/>
                <w:color w:val="000000"/>
                <w:lang w:eastAsia="pl-PL"/>
              </w:rPr>
              <w:t>defaworyzowanych</w:t>
            </w:r>
            <w:proofErr w:type="spellEnd"/>
            <w:r w:rsidRPr="00DF21A7">
              <w:rPr>
                <w:rFonts w:ascii="Times New Roman" w:eastAsia="Times New Roman" w:hAnsi="Times New Roman"/>
                <w:color w:val="000000"/>
                <w:lang w:eastAsia="pl-PL"/>
              </w:rPr>
              <w:t xml:space="preserve"> w stosunku co do których powinna być kierowana pomoc opisane zostały w Rozdziale III – Diagnoza pkt. 3</w:t>
            </w:r>
          </w:p>
        </w:tc>
      </w:tr>
      <w:tr w:rsidR="00FA7223" w:rsidRPr="007B368F" w:rsidTr="00B762C5">
        <w:tc>
          <w:tcPr>
            <w:tcW w:w="1272" w:type="dxa"/>
            <w:shd w:val="clear" w:color="auto" w:fill="auto"/>
            <w:vAlign w:val="center"/>
          </w:tcPr>
          <w:p w:rsidR="00FA7223" w:rsidRPr="00DF21A7" w:rsidRDefault="00FA7223" w:rsidP="00B762C5">
            <w:pPr>
              <w:spacing w:after="0" w:line="240" w:lineRule="auto"/>
              <w:jc w:val="center"/>
              <w:rPr>
                <w:rFonts w:ascii="Times New Roman" w:hAnsi="Times New Roman"/>
                <w:b/>
                <w:color w:val="000000"/>
              </w:rPr>
            </w:pPr>
            <w:r w:rsidRPr="00DF21A7">
              <w:rPr>
                <w:rFonts w:ascii="Times New Roman" w:hAnsi="Times New Roman"/>
                <w:b/>
                <w:color w:val="000000"/>
              </w:rPr>
              <w:t xml:space="preserve">7. Czy wnioskodawca zobowiązuje się do stworzenia więcej niż </w:t>
            </w:r>
            <w:r w:rsidRPr="00DF21A7">
              <w:rPr>
                <w:rFonts w:ascii="Times New Roman" w:hAnsi="Times New Roman"/>
                <w:b/>
                <w:color w:val="000000"/>
              </w:rPr>
              <w:lastRenderedPageBreak/>
              <w:t>wymagany w PROW 1 etat w przeliczeniu na etaty średnioroczne</w:t>
            </w:r>
          </w:p>
          <w:p w:rsidR="00FA7223" w:rsidRPr="00DF21A7" w:rsidRDefault="00FA7223" w:rsidP="00B762C5">
            <w:pPr>
              <w:spacing w:after="0" w:line="240" w:lineRule="auto"/>
              <w:jc w:val="center"/>
              <w:rPr>
                <w:rFonts w:ascii="Times New Roman" w:hAnsi="Times New Roman"/>
                <w:color w:val="000000"/>
              </w:rPr>
            </w:pPr>
          </w:p>
        </w:tc>
        <w:tc>
          <w:tcPr>
            <w:tcW w:w="1842" w:type="dxa"/>
            <w:shd w:val="clear" w:color="auto" w:fill="auto"/>
            <w:vAlign w:val="center"/>
          </w:tcPr>
          <w:p w:rsidR="00FA7223" w:rsidRPr="00DF21A7" w:rsidRDefault="00FA7223" w:rsidP="00B762C5">
            <w:pPr>
              <w:spacing w:after="0" w:line="240" w:lineRule="auto"/>
              <w:rPr>
                <w:rFonts w:ascii="Times New Roman" w:eastAsia="Times New Roman" w:hAnsi="Times New Roman"/>
                <w:color w:val="000000"/>
                <w:lang w:eastAsia="pl-PL"/>
              </w:rPr>
            </w:pPr>
          </w:p>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Do 0,5 etatu</w:t>
            </w:r>
          </w:p>
          <w:p w:rsidR="00FA7223" w:rsidRPr="00DF21A7" w:rsidRDefault="00FA7223"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9 pkt</w:t>
            </w:r>
          </w:p>
          <w:p w:rsidR="00FA7223" w:rsidRPr="00DF21A7" w:rsidRDefault="00FA7223" w:rsidP="00B762C5">
            <w:pPr>
              <w:spacing w:after="0" w:line="240" w:lineRule="auto"/>
              <w:ind w:left="214"/>
              <w:rPr>
                <w:rFonts w:ascii="Times New Roman" w:eastAsia="Times New Roman" w:hAnsi="Times New Roman"/>
                <w:color w:val="000000"/>
                <w:lang w:eastAsia="pl-PL"/>
              </w:rPr>
            </w:pPr>
          </w:p>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Od 0,5 do 1 etatu </w:t>
            </w:r>
          </w:p>
          <w:p w:rsidR="00FA7223" w:rsidRPr="00DF21A7" w:rsidRDefault="00FA7223"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12 pkt</w:t>
            </w:r>
          </w:p>
          <w:p w:rsidR="00FA7223" w:rsidRPr="00DF21A7" w:rsidRDefault="00FA7223" w:rsidP="00B762C5">
            <w:pPr>
              <w:spacing w:after="0" w:line="240" w:lineRule="auto"/>
              <w:ind w:left="214"/>
              <w:rPr>
                <w:rFonts w:ascii="Times New Roman" w:eastAsia="Times New Roman" w:hAnsi="Times New Roman"/>
                <w:b/>
                <w:color w:val="000000"/>
                <w:lang w:eastAsia="pl-PL"/>
              </w:rPr>
            </w:pPr>
          </w:p>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Powyżej 1 etatu </w:t>
            </w:r>
          </w:p>
          <w:p w:rsidR="00FA7223" w:rsidRPr="00DF21A7" w:rsidRDefault="00FA7223" w:rsidP="00B762C5">
            <w:pPr>
              <w:pStyle w:val="Akapitzlist"/>
              <w:spacing w:after="0" w:line="240" w:lineRule="auto"/>
              <w:ind w:left="246"/>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15 pkt</w:t>
            </w:r>
          </w:p>
        </w:tc>
        <w:tc>
          <w:tcPr>
            <w:tcW w:w="3969" w:type="dxa"/>
            <w:vAlign w:val="center"/>
          </w:tcPr>
          <w:p w:rsidR="00FA7223" w:rsidRPr="00DF21A7" w:rsidRDefault="00FA7223"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lastRenderedPageBreak/>
              <w:t xml:space="preserve">Będą premiowane te operacje, które zakładają zwiększenie poziomu zatrudnienia i walkę z bezrobociem, zwłaszcza wśród osób z  grup </w:t>
            </w:r>
            <w:proofErr w:type="spellStart"/>
            <w:r w:rsidRPr="00DF21A7">
              <w:rPr>
                <w:rFonts w:ascii="Times New Roman" w:hAnsi="Times New Roman"/>
                <w:color w:val="000000"/>
              </w:rPr>
              <w:t>defaworyzowanych</w:t>
            </w:r>
            <w:proofErr w:type="spellEnd"/>
            <w:r w:rsidRPr="00DF21A7">
              <w:rPr>
                <w:rFonts w:ascii="Times New Roman" w:hAnsi="Times New Roman"/>
                <w:color w:val="000000"/>
              </w:rPr>
              <w:t xml:space="preserve">  ze względu na dostęp do rynku pracy określonych w LSR (osoby bezrobotne w wieku 25-44 </w:t>
            </w:r>
            <w:r w:rsidRPr="00DF21A7">
              <w:rPr>
                <w:rFonts w:ascii="Times New Roman" w:hAnsi="Times New Roman"/>
                <w:color w:val="000000"/>
              </w:rPr>
              <w:lastRenderedPageBreak/>
              <w:t>lat oraz kobiety). Realizacja LSR ma przyczynić się do wzrostu poziomu zatrudnienia na obszarze LGD i co za tym idzie poprawić warunki życia mieszkańców.</w:t>
            </w:r>
          </w:p>
          <w:p w:rsidR="00FA7223" w:rsidRPr="00DF21A7" w:rsidRDefault="00FA7223" w:rsidP="00B762C5">
            <w:pPr>
              <w:spacing w:line="240" w:lineRule="auto"/>
              <w:ind w:left="48"/>
              <w:contextualSpacing/>
              <w:jc w:val="center"/>
              <w:rPr>
                <w:rFonts w:ascii="Times New Roman" w:hAnsi="Times New Roman"/>
                <w:color w:val="000000"/>
              </w:rPr>
            </w:pPr>
          </w:p>
          <w:p w:rsidR="00FA7223" w:rsidRPr="00DF21A7" w:rsidRDefault="00FA7223"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Kryterium będzie weryfikowane na  podstawie  zapisów w dokumentach aplikacyjnych w tym zapisów w biznesplanie</w:t>
            </w:r>
          </w:p>
        </w:tc>
        <w:tc>
          <w:tcPr>
            <w:tcW w:w="2414" w:type="dxa"/>
            <w:shd w:val="clear" w:color="auto" w:fill="auto"/>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p>
          <w:p w:rsidR="00FA7223" w:rsidRPr="00DF21A7" w:rsidRDefault="00FA7223" w:rsidP="00B762C5">
            <w:pPr>
              <w:spacing w:after="0" w:line="240" w:lineRule="auto"/>
              <w:jc w:val="center"/>
              <w:rPr>
                <w:rFonts w:ascii="Times New Roman" w:eastAsia="Times New Roman" w:hAnsi="Times New Roman"/>
                <w:color w:val="000000"/>
                <w:lang w:eastAsia="pl-PL"/>
              </w:rPr>
            </w:pPr>
          </w:p>
          <w:p w:rsidR="00FA7223" w:rsidRPr="00DF21A7" w:rsidRDefault="00FA7223" w:rsidP="00B762C5">
            <w:pPr>
              <w:spacing w:after="0" w:line="240" w:lineRule="auto"/>
              <w:jc w:val="center"/>
              <w:rPr>
                <w:rFonts w:ascii="Times New Roman" w:eastAsia="Times New Roman" w:hAnsi="Times New Roman"/>
                <w:color w:val="000000"/>
                <w:lang w:eastAsia="pl-PL"/>
              </w:rPr>
            </w:pPr>
          </w:p>
          <w:p w:rsidR="00FA7223" w:rsidRPr="00DF21A7" w:rsidRDefault="00FA7223" w:rsidP="00B762C5">
            <w:pPr>
              <w:spacing w:after="0" w:line="240" w:lineRule="auto"/>
              <w:jc w:val="center"/>
              <w:rPr>
                <w:rFonts w:ascii="Times New Roman" w:eastAsia="Times New Roman" w:hAnsi="Times New Roman"/>
                <w:color w:val="000000"/>
                <w:lang w:eastAsia="pl-PL"/>
              </w:rPr>
            </w:pPr>
          </w:p>
          <w:p w:rsidR="00FA7223" w:rsidRPr="00DF21A7" w:rsidRDefault="00FA7223" w:rsidP="00B762C5">
            <w:pPr>
              <w:spacing w:after="0" w:line="240" w:lineRule="auto"/>
              <w:jc w:val="center"/>
              <w:rPr>
                <w:rFonts w:ascii="Times New Roman" w:eastAsia="Times New Roman" w:hAnsi="Times New Roman"/>
                <w:color w:val="000000"/>
                <w:lang w:eastAsia="pl-PL"/>
              </w:rPr>
            </w:pPr>
          </w:p>
          <w:p w:rsidR="00FA7223" w:rsidRPr="00DF21A7" w:rsidRDefault="00FA7223" w:rsidP="00B762C5">
            <w:pPr>
              <w:spacing w:after="0" w:line="240" w:lineRule="auto"/>
              <w:jc w:val="center"/>
              <w:rPr>
                <w:rFonts w:ascii="Times New Roman" w:eastAsia="Times New Roman" w:hAnsi="Times New Roman"/>
                <w:b/>
                <w:color w:val="000000"/>
                <w:u w:val="single"/>
                <w:lang w:eastAsia="pl-PL"/>
              </w:rPr>
            </w:pPr>
            <w:r w:rsidRPr="00DF21A7">
              <w:rPr>
                <w:rFonts w:ascii="Times New Roman" w:eastAsia="Times New Roman" w:hAnsi="Times New Roman"/>
                <w:color w:val="000000"/>
                <w:lang w:eastAsia="pl-PL"/>
              </w:rPr>
              <w:t xml:space="preserve">Opis rynku pracy, w tym określenie grup </w:t>
            </w:r>
            <w:proofErr w:type="spellStart"/>
            <w:r w:rsidRPr="00DF21A7">
              <w:rPr>
                <w:rFonts w:ascii="Times New Roman" w:eastAsia="Times New Roman" w:hAnsi="Times New Roman"/>
                <w:color w:val="000000"/>
                <w:lang w:eastAsia="pl-PL"/>
              </w:rPr>
              <w:lastRenderedPageBreak/>
              <w:t>defaworyzowanych</w:t>
            </w:r>
            <w:proofErr w:type="spellEnd"/>
            <w:r w:rsidRPr="00DF21A7">
              <w:rPr>
                <w:rFonts w:ascii="Times New Roman" w:eastAsia="Times New Roman" w:hAnsi="Times New Roman"/>
                <w:color w:val="000000"/>
                <w:lang w:eastAsia="pl-PL"/>
              </w:rPr>
              <w:t xml:space="preserve"> w stosunku co do których powinna być kierowana pomoc opisane zostały w Rozdziale III – Diagnoza pkt. 3</w:t>
            </w:r>
          </w:p>
        </w:tc>
      </w:tr>
      <w:tr w:rsidR="00FA7223" w:rsidRPr="007B368F" w:rsidTr="00B762C5">
        <w:tc>
          <w:tcPr>
            <w:tcW w:w="1272" w:type="dxa"/>
            <w:shd w:val="clear" w:color="auto" w:fill="auto"/>
            <w:vAlign w:val="center"/>
          </w:tcPr>
          <w:p w:rsidR="00FA7223" w:rsidRPr="00DF21A7" w:rsidRDefault="00FA7223" w:rsidP="00B762C5">
            <w:pPr>
              <w:spacing w:after="0" w:line="240" w:lineRule="auto"/>
              <w:jc w:val="center"/>
              <w:rPr>
                <w:rFonts w:ascii="Times New Roman" w:hAnsi="Times New Roman"/>
                <w:b/>
                <w:color w:val="000000"/>
              </w:rPr>
            </w:pPr>
            <w:r w:rsidRPr="00DF21A7">
              <w:rPr>
                <w:rFonts w:ascii="Times New Roman" w:hAnsi="Times New Roman"/>
                <w:b/>
                <w:color w:val="000000"/>
              </w:rPr>
              <w:lastRenderedPageBreak/>
              <w:t>8. Przewidziany czas realizacji projektu od podpisania umowy</w:t>
            </w:r>
          </w:p>
          <w:p w:rsidR="00FA7223" w:rsidRPr="00DF21A7" w:rsidRDefault="00FA7223" w:rsidP="00B762C5">
            <w:pPr>
              <w:spacing w:after="0" w:line="240" w:lineRule="auto"/>
              <w:jc w:val="center"/>
              <w:rPr>
                <w:rFonts w:ascii="Times New Roman" w:hAnsi="Times New Roman"/>
                <w:b/>
                <w:color w:val="000000"/>
              </w:rPr>
            </w:pPr>
            <w:r w:rsidRPr="00DF21A7">
              <w:rPr>
                <w:rFonts w:ascii="Times New Roman" w:hAnsi="Times New Roman"/>
                <w:color w:val="000000"/>
              </w:rPr>
              <w:t>(weryfikacja na podstawie oświadczenia dołączonego do wniosku)</w:t>
            </w:r>
          </w:p>
        </w:tc>
        <w:tc>
          <w:tcPr>
            <w:tcW w:w="1842" w:type="dxa"/>
            <w:shd w:val="clear" w:color="auto" w:fill="auto"/>
            <w:vAlign w:val="center"/>
          </w:tcPr>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Od 0 do 12 miesięcy </w:t>
            </w:r>
          </w:p>
          <w:p w:rsidR="00FA7223" w:rsidRPr="00DF21A7" w:rsidRDefault="00FA7223"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18 pkt</w:t>
            </w:r>
          </w:p>
          <w:p w:rsidR="00FA7223" w:rsidRPr="00DF21A7" w:rsidRDefault="00FA7223" w:rsidP="00B762C5">
            <w:pPr>
              <w:spacing w:after="0" w:line="240" w:lineRule="auto"/>
              <w:rPr>
                <w:rFonts w:ascii="Times New Roman" w:eastAsia="Times New Roman" w:hAnsi="Times New Roman"/>
                <w:b/>
                <w:color w:val="000000"/>
                <w:lang w:eastAsia="pl-PL"/>
              </w:rPr>
            </w:pPr>
          </w:p>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b/>
                <w:color w:val="000000"/>
                <w:lang w:eastAsia="pl-PL"/>
              </w:rPr>
            </w:pPr>
            <w:r w:rsidRPr="00DF21A7">
              <w:rPr>
                <w:rFonts w:ascii="Times New Roman" w:eastAsia="Times New Roman" w:hAnsi="Times New Roman"/>
                <w:color w:val="000000"/>
                <w:lang w:eastAsia="pl-PL"/>
              </w:rPr>
              <w:t xml:space="preserve">Od 12 miesięcy do 18 miesięcy </w:t>
            </w:r>
          </w:p>
          <w:p w:rsidR="00FA7223" w:rsidRPr="00DF21A7" w:rsidRDefault="00FA7223" w:rsidP="00B762C5">
            <w:pPr>
              <w:pStyle w:val="Akapitzlist"/>
              <w:spacing w:after="0" w:line="240" w:lineRule="auto"/>
              <w:ind w:left="246"/>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12 pkt</w:t>
            </w:r>
          </w:p>
          <w:p w:rsidR="00FA7223" w:rsidRPr="00DF21A7" w:rsidRDefault="00FA7223" w:rsidP="00B762C5">
            <w:pPr>
              <w:spacing w:after="0" w:line="240" w:lineRule="auto"/>
              <w:ind w:left="214"/>
              <w:rPr>
                <w:rFonts w:ascii="Times New Roman" w:eastAsia="Times New Roman" w:hAnsi="Times New Roman"/>
                <w:color w:val="000000"/>
                <w:lang w:eastAsia="pl-PL"/>
              </w:rPr>
            </w:pPr>
          </w:p>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Od 18 do 24 miesięcy </w:t>
            </w:r>
          </w:p>
          <w:p w:rsidR="00FA7223" w:rsidRPr="00DF21A7" w:rsidRDefault="00FA7223" w:rsidP="00B762C5">
            <w:pPr>
              <w:pStyle w:val="Akapitzlist"/>
              <w:spacing w:after="0" w:line="240" w:lineRule="auto"/>
              <w:ind w:left="246"/>
              <w:rPr>
                <w:rFonts w:ascii="Times New Roman" w:eastAsia="Times New Roman" w:hAnsi="Times New Roman"/>
                <w:color w:val="000000"/>
                <w:lang w:eastAsia="pl-PL"/>
              </w:rPr>
            </w:pPr>
            <w:r w:rsidRPr="00DF21A7">
              <w:rPr>
                <w:rFonts w:ascii="Times New Roman" w:eastAsia="Times New Roman" w:hAnsi="Times New Roman"/>
                <w:b/>
                <w:color w:val="000000"/>
                <w:lang w:eastAsia="pl-PL"/>
              </w:rPr>
              <w:t>– 6 pkt</w:t>
            </w:r>
          </w:p>
        </w:tc>
        <w:tc>
          <w:tcPr>
            <w:tcW w:w="3969" w:type="dxa"/>
            <w:vAlign w:val="center"/>
          </w:tcPr>
          <w:p w:rsidR="00FA7223" w:rsidRPr="00DF21A7" w:rsidRDefault="00FA7223"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 xml:space="preserve">Premiowane będą te operacje, które zakładają krótki czas ich realizacji, co ma na celu szybki rozwój sektora gospodarczego, szybki wzrost zatrudnienia osób z grup </w:t>
            </w:r>
            <w:proofErr w:type="spellStart"/>
            <w:r w:rsidRPr="00DF21A7">
              <w:rPr>
                <w:rFonts w:ascii="Times New Roman" w:hAnsi="Times New Roman"/>
                <w:color w:val="000000"/>
              </w:rPr>
              <w:t>defaworyzowanych</w:t>
            </w:r>
            <w:proofErr w:type="spellEnd"/>
            <w:r w:rsidRPr="00DF21A7">
              <w:rPr>
                <w:rFonts w:ascii="Times New Roman" w:hAnsi="Times New Roman"/>
                <w:color w:val="000000"/>
              </w:rPr>
              <w:t>, poprawę jakości życia na obszarach wiejskich oraz szybki spadek bezrobocia występującego na obszarze LGD</w:t>
            </w:r>
          </w:p>
          <w:p w:rsidR="00FA7223" w:rsidRPr="00DF21A7" w:rsidRDefault="00FA7223" w:rsidP="00B762C5">
            <w:pPr>
              <w:spacing w:line="240" w:lineRule="auto"/>
              <w:ind w:left="48"/>
              <w:contextualSpacing/>
              <w:jc w:val="center"/>
              <w:rPr>
                <w:rFonts w:ascii="Times New Roman" w:hAnsi="Times New Roman"/>
                <w:color w:val="000000"/>
              </w:rPr>
            </w:pPr>
          </w:p>
          <w:p w:rsidR="00FA7223" w:rsidRPr="00DF21A7" w:rsidRDefault="00FA7223"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Kryterium będzie weryfikowane na  podstawie  zapisów w dokumentach aplikacyjnych w tym zapisów w biznesplanie</w:t>
            </w:r>
          </w:p>
        </w:tc>
        <w:tc>
          <w:tcPr>
            <w:tcW w:w="2414" w:type="dxa"/>
            <w:shd w:val="clear" w:color="auto" w:fill="auto"/>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Opis rynku pracy, w tym określenie grup </w:t>
            </w:r>
            <w:proofErr w:type="spellStart"/>
            <w:r w:rsidRPr="00DF21A7">
              <w:rPr>
                <w:rFonts w:ascii="Times New Roman" w:eastAsia="Times New Roman" w:hAnsi="Times New Roman"/>
                <w:color w:val="000000"/>
                <w:lang w:eastAsia="pl-PL"/>
              </w:rPr>
              <w:t>defaworyzowanych</w:t>
            </w:r>
            <w:proofErr w:type="spellEnd"/>
            <w:r w:rsidRPr="00DF21A7">
              <w:rPr>
                <w:rFonts w:ascii="Times New Roman" w:eastAsia="Times New Roman" w:hAnsi="Times New Roman"/>
                <w:color w:val="000000"/>
                <w:lang w:eastAsia="pl-PL"/>
              </w:rPr>
              <w:t xml:space="preserve"> w stosunku co do których powinna być kierowana pomoc opisane zostały w Rozdziale III – Diagnoza pkt. 3 Natomiast charakterystyka gospodarki i przedsiębiorczości znajduje się w Rozdziale III – Diagnoza pkt. 2</w:t>
            </w:r>
          </w:p>
        </w:tc>
      </w:tr>
      <w:tr w:rsidR="00FA7223" w:rsidRPr="007B368F" w:rsidTr="00B762C5">
        <w:tc>
          <w:tcPr>
            <w:tcW w:w="1272" w:type="dxa"/>
            <w:shd w:val="clear" w:color="auto" w:fill="auto"/>
            <w:vAlign w:val="center"/>
          </w:tcPr>
          <w:p w:rsidR="00FA7223" w:rsidRPr="00DF21A7" w:rsidRDefault="00FA7223" w:rsidP="00B762C5">
            <w:pPr>
              <w:spacing w:after="0" w:line="240" w:lineRule="auto"/>
              <w:jc w:val="center"/>
              <w:rPr>
                <w:rFonts w:ascii="Times New Roman" w:hAnsi="Times New Roman"/>
                <w:b/>
                <w:color w:val="000000"/>
              </w:rPr>
            </w:pPr>
            <w:r w:rsidRPr="00DF21A7">
              <w:rPr>
                <w:rFonts w:ascii="Times New Roman" w:hAnsi="Times New Roman"/>
                <w:b/>
                <w:color w:val="000000"/>
              </w:rPr>
              <w:t>9. Czy miejsce zamieszkania/siedziby wnioskodawcy mieści się na terenie miejscowości, której liczba mieszkańców wynosi:</w:t>
            </w:r>
          </w:p>
          <w:p w:rsidR="00FA7223" w:rsidRPr="00DF21A7" w:rsidRDefault="00FA7223" w:rsidP="00B762C5">
            <w:pPr>
              <w:pStyle w:val="Akapitzlist"/>
              <w:spacing w:after="0" w:line="240" w:lineRule="auto"/>
              <w:ind w:left="0"/>
              <w:jc w:val="both"/>
              <w:rPr>
                <w:rFonts w:ascii="Times New Roman" w:hAnsi="Times New Roman"/>
                <w:b/>
                <w:color w:val="000000"/>
              </w:rPr>
            </w:pPr>
            <w:r w:rsidRPr="00DF21A7">
              <w:rPr>
                <w:rFonts w:ascii="Times New Roman" w:hAnsi="Times New Roman"/>
                <w:color w:val="000000"/>
              </w:rPr>
              <w:t>(w oparciu o dane statystyczne pozyskane z Urzędu Gminy, na dzień 31.12.2015 r.)</w:t>
            </w:r>
          </w:p>
        </w:tc>
        <w:tc>
          <w:tcPr>
            <w:tcW w:w="1842" w:type="dxa"/>
            <w:shd w:val="clear" w:color="auto" w:fill="auto"/>
            <w:vAlign w:val="center"/>
          </w:tcPr>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Od 0 do 1000 </w:t>
            </w:r>
          </w:p>
          <w:p w:rsidR="00FA7223" w:rsidRPr="00DF21A7" w:rsidRDefault="00FA7223"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8 pkt</w:t>
            </w:r>
          </w:p>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b/>
                <w:color w:val="000000"/>
                <w:lang w:eastAsia="pl-PL"/>
              </w:rPr>
            </w:pPr>
            <w:r w:rsidRPr="00DF21A7">
              <w:rPr>
                <w:rFonts w:ascii="Times New Roman" w:eastAsia="Times New Roman" w:hAnsi="Times New Roman"/>
                <w:color w:val="000000"/>
                <w:lang w:eastAsia="pl-PL"/>
              </w:rPr>
              <w:t xml:space="preserve">Od 1001 do 2000 </w:t>
            </w:r>
          </w:p>
          <w:p w:rsidR="00FA7223" w:rsidRPr="00DF21A7" w:rsidRDefault="00FA7223" w:rsidP="00B762C5">
            <w:pPr>
              <w:pStyle w:val="Akapitzlist"/>
              <w:spacing w:after="0" w:line="240" w:lineRule="auto"/>
              <w:ind w:left="246"/>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7 pkt</w:t>
            </w:r>
          </w:p>
          <w:p w:rsidR="00FA7223" w:rsidRPr="00DF21A7" w:rsidRDefault="00FA7223" w:rsidP="00B762C5">
            <w:pPr>
              <w:pStyle w:val="Akapitzlist"/>
              <w:numPr>
                <w:ilvl w:val="0"/>
                <w:numId w:val="7"/>
              </w:numPr>
              <w:spacing w:after="0" w:line="240" w:lineRule="auto"/>
              <w:ind w:left="214" w:hanging="246"/>
              <w:rPr>
                <w:rFonts w:ascii="Times New Roman" w:eastAsia="Times New Roman" w:hAnsi="Times New Roman"/>
                <w:b/>
                <w:color w:val="000000"/>
                <w:lang w:eastAsia="pl-PL"/>
              </w:rPr>
            </w:pPr>
            <w:r w:rsidRPr="00DF21A7">
              <w:rPr>
                <w:rFonts w:ascii="Times New Roman" w:eastAsia="Times New Roman" w:hAnsi="Times New Roman"/>
                <w:color w:val="000000"/>
                <w:lang w:eastAsia="pl-PL"/>
              </w:rPr>
              <w:t>Od 2001 do 3000</w:t>
            </w:r>
            <w:r w:rsidRPr="00DF21A7">
              <w:rPr>
                <w:rFonts w:ascii="Times New Roman" w:eastAsia="Times New Roman" w:hAnsi="Times New Roman"/>
                <w:b/>
                <w:color w:val="000000"/>
                <w:lang w:eastAsia="pl-PL"/>
              </w:rPr>
              <w:t>– 6 pkt</w:t>
            </w:r>
          </w:p>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Od 3001 do 4000 </w:t>
            </w:r>
          </w:p>
          <w:p w:rsidR="00FA7223" w:rsidRPr="00DF21A7" w:rsidRDefault="00FA7223" w:rsidP="00B762C5">
            <w:pPr>
              <w:spacing w:after="0" w:line="240" w:lineRule="auto"/>
              <w:ind w:left="214"/>
              <w:rPr>
                <w:rFonts w:ascii="Times New Roman" w:eastAsia="Times New Roman" w:hAnsi="Times New Roman"/>
                <w:b/>
                <w:color w:val="000000"/>
                <w:lang w:eastAsia="pl-PL"/>
              </w:rPr>
            </w:pPr>
            <w:r w:rsidRPr="00DF21A7">
              <w:rPr>
                <w:rFonts w:ascii="Times New Roman" w:eastAsia="Times New Roman" w:hAnsi="Times New Roman"/>
                <w:b/>
                <w:color w:val="000000"/>
                <w:lang w:eastAsia="pl-PL"/>
              </w:rPr>
              <w:t>– 5 pkt</w:t>
            </w:r>
          </w:p>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Od 4001 do 5000</w:t>
            </w:r>
          </w:p>
          <w:p w:rsidR="00FA7223" w:rsidRPr="00DF21A7" w:rsidRDefault="00FA7223" w:rsidP="00B762C5">
            <w:pPr>
              <w:spacing w:after="0" w:line="240" w:lineRule="auto"/>
              <w:rPr>
                <w:rFonts w:ascii="Times New Roman" w:eastAsia="Times New Roman" w:hAnsi="Times New Roman"/>
                <w:b/>
                <w:color w:val="000000"/>
                <w:lang w:eastAsia="pl-PL"/>
              </w:rPr>
            </w:pPr>
            <w:r w:rsidRPr="00DF21A7">
              <w:rPr>
                <w:rFonts w:ascii="Times New Roman" w:eastAsia="Times New Roman" w:hAnsi="Times New Roman"/>
                <w:color w:val="000000"/>
                <w:lang w:eastAsia="pl-PL"/>
              </w:rPr>
              <w:t xml:space="preserve">    </w:t>
            </w:r>
            <w:r w:rsidRPr="00DF21A7">
              <w:rPr>
                <w:rFonts w:ascii="Times New Roman" w:eastAsia="Times New Roman" w:hAnsi="Times New Roman"/>
                <w:b/>
                <w:color w:val="000000"/>
                <w:lang w:eastAsia="pl-PL"/>
              </w:rPr>
              <w:t>– 4 pkt</w:t>
            </w:r>
          </w:p>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Od 5001 do 6000</w:t>
            </w:r>
          </w:p>
          <w:p w:rsidR="00FA7223" w:rsidRPr="00DF21A7" w:rsidRDefault="00FA7223" w:rsidP="00B762C5">
            <w:pPr>
              <w:pStyle w:val="Akapitzlist"/>
              <w:spacing w:after="0" w:line="240" w:lineRule="auto"/>
              <w:ind w:left="246"/>
              <w:rPr>
                <w:rFonts w:ascii="Times New Roman" w:eastAsia="Times New Roman" w:hAnsi="Times New Roman"/>
                <w:color w:val="000000"/>
                <w:lang w:eastAsia="pl-PL"/>
              </w:rPr>
            </w:pPr>
            <w:r w:rsidRPr="00DF21A7">
              <w:rPr>
                <w:rFonts w:ascii="Times New Roman" w:eastAsia="Times New Roman" w:hAnsi="Times New Roman"/>
                <w:b/>
                <w:color w:val="000000"/>
                <w:lang w:eastAsia="pl-PL"/>
              </w:rPr>
              <w:t>– 3 pkt</w:t>
            </w:r>
          </w:p>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Od 6001 do 7000 </w:t>
            </w:r>
            <w:r w:rsidRPr="00DF21A7">
              <w:rPr>
                <w:rFonts w:ascii="Times New Roman" w:eastAsia="Times New Roman" w:hAnsi="Times New Roman"/>
                <w:b/>
                <w:color w:val="000000"/>
                <w:lang w:eastAsia="pl-PL"/>
              </w:rPr>
              <w:t>– 2 pkt</w:t>
            </w:r>
          </w:p>
          <w:p w:rsidR="00FA7223" w:rsidRPr="00DF21A7" w:rsidRDefault="00FA7223" w:rsidP="00B762C5">
            <w:pPr>
              <w:pStyle w:val="Akapitzlist"/>
              <w:numPr>
                <w:ilvl w:val="0"/>
                <w:numId w:val="7"/>
              </w:numPr>
              <w:spacing w:after="0" w:line="240" w:lineRule="auto"/>
              <w:ind w:left="246" w:hanging="246"/>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7001 i więcej – </w:t>
            </w:r>
            <w:r w:rsidRPr="00DF21A7">
              <w:rPr>
                <w:rFonts w:ascii="Times New Roman" w:eastAsia="Times New Roman" w:hAnsi="Times New Roman"/>
                <w:b/>
                <w:color w:val="000000"/>
                <w:lang w:eastAsia="pl-PL"/>
              </w:rPr>
              <w:t>1 pkt</w:t>
            </w:r>
          </w:p>
        </w:tc>
        <w:tc>
          <w:tcPr>
            <w:tcW w:w="3969" w:type="dxa"/>
            <w:vAlign w:val="center"/>
          </w:tcPr>
          <w:p w:rsidR="00FA7223" w:rsidRPr="00DF21A7" w:rsidRDefault="00FA7223"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Premiowane będą te operacje, które mają na celu aktywizację i zachęcanie do postaw pro przedsiębiorczych mieszkańców małych miejscowości a także wzmocnić te niewielkie i małe przedsiębiorstwa mające swoje siedziby na terenie nawet najmniejszych sołectw.</w:t>
            </w:r>
          </w:p>
          <w:p w:rsidR="00FA7223" w:rsidRPr="00DF21A7" w:rsidRDefault="00FA7223" w:rsidP="00B762C5">
            <w:pPr>
              <w:spacing w:line="240" w:lineRule="auto"/>
              <w:ind w:left="48"/>
              <w:contextualSpacing/>
              <w:jc w:val="center"/>
              <w:rPr>
                <w:rFonts w:ascii="Times New Roman" w:hAnsi="Times New Roman"/>
                <w:color w:val="000000"/>
              </w:rPr>
            </w:pPr>
          </w:p>
          <w:p w:rsidR="00FA7223" w:rsidRPr="00DF21A7" w:rsidRDefault="00FA7223" w:rsidP="00B762C5">
            <w:pPr>
              <w:spacing w:line="240" w:lineRule="auto"/>
              <w:ind w:left="48"/>
              <w:contextualSpacing/>
              <w:jc w:val="center"/>
              <w:rPr>
                <w:rFonts w:ascii="Times New Roman" w:hAnsi="Times New Roman"/>
                <w:color w:val="000000"/>
              </w:rPr>
            </w:pPr>
            <w:r w:rsidRPr="00DF21A7">
              <w:rPr>
                <w:rFonts w:ascii="Times New Roman" w:hAnsi="Times New Roman"/>
                <w:color w:val="000000"/>
              </w:rPr>
              <w:t>Kryterium będzie weryfikowane na  podstawie  zapisów w dokumentach aplikacyjnych w tym zapisów w biznesplanie</w:t>
            </w:r>
          </w:p>
        </w:tc>
        <w:tc>
          <w:tcPr>
            <w:tcW w:w="2414" w:type="dxa"/>
            <w:shd w:val="clear" w:color="auto" w:fill="auto"/>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t xml:space="preserve">Opis rynku pracy, w tym określenie grup </w:t>
            </w:r>
            <w:proofErr w:type="spellStart"/>
            <w:r w:rsidRPr="00DF21A7">
              <w:rPr>
                <w:rFonts w:ascii="Times New Roman" w:eastAsia="Times New Roman" w:hAnsi="Times New Roman"/>
                <w:color w:val="000000"/>
                <w:lang w:eastAsia="pl-PL"/>
              </w:rPr>
              <w:t>defaworyzowanych</w:t>
            </w:r>
            <w:proofErr w:type="spellEnd"/>
            <w:r w:rsidRPr="00DF21A7">
              <w:rPr>
                <w:rFonts w:ascii="Times New Roman" w:eastAsia="Times New Roman" w:hAnsi="Times New Roman"/>
                <w:color w:val="000000"/>
                <w:lang w:eastAsia="pl-PL"/>
              </w:rPr>
              <w:t xml:space="preserve"> w stosunku co do których powinna być kierowana pomoc opisane zostały w Rozdziale III – Diagnoza pkt. 3 Natomiast charakterystyka gospodarki i przedsiębiorczości znajduje się w Rozdziale III – Diagnoza pkt. 2</w:t>
            </w:r>
          </w:p>
        </w:tc>
      </w:tr>
      <w:tr w:rsidR="00FA7223" w:rsidRPr="007B368F" w:rsidTr="00B762C5">
        <w:tc>
          <w:tcPr>
            <w:tcW w:w="1272" w:type="dxa"/>
            <w:shd w:val="clear" w:color="auto" w:fill="auto"/>
          </w:tcPr>
          <w:p w:rsidR="00FA7223" w:rsidRPr="00DF21A7" w:rsidRDefault="00FA7223" w:rsidP="00B762C5">
            <w:pPr>
              <w:spacing w:after="0" w:line="240" w:lineRule="auto"/>
              <w:rPr>
                <w:rFonts w:ascii="Times New Roman" w:hAnsi="Times New Roman"/>
                <w:b/>
                <w:i/>
                <w:color w:val="000000"/>
              </w:rPr>
            </w:pPr>
            <w:r w:rsidRPr="00DF21A7">
              <w:rPr>
                <w:rFonts w:ascii="Times New Roman" w:hAnsi="Times New Roman"/>
                <w:b/>
                <w:i/>
                <w:color w:val="000000"/>
              </w:rPr>
              <w:t xml:space="preserve">10. </w:t>
            </w:r>
            <w:r w:rsidRPr="00DF21A7">
              <w:rPr>
                <w:rFonts w:ascii="Times New Roman" w:hAnsi="Times New Roman"/>
                <w:b/>
                <w:i/>
                <w:color w:val="000000"/>
              </w:rPr>
              <w:lastRenderedPageBreak/>
              <w:t>Wnioskodawca wziął udział w szkoleniu/doradztwie przez LGD przeprowadzonego w ramach naboru?</w:t>
            </w:r>
          </w:p>
          <w:p w:rsidR="00FA7223" w:rsidRPr="00DF21A7" w:rsidRDefault="00FA7223" w:rsidP="00B762C5">
            <w:pPr>
              <w:spacing w:after="0" w:line="240" w:lineRule="auto"/>
              <w:jc w:val="both"/>
              <w:rPr>
                <w:rFonts w:ascii="Times New Roman" w:hAnsi="Times New Roman"/>
                <w:color w:val="000000"/>
              </w:rPr>
            </w:pPr>
            <w:r w:rsidRPr="00DF21A7">
              <w:rPr>
                <w:rFonts w:ascii="Times New Roman" w:hAnsi="Times New Roman"/>
                <w:color w:val="000000"/>
              </w:rPr>
              <w:t xml:space="preserve"> (weryfikacja na podstawie list obecności)</w:t>
            </w:r>
          </w:p>
        </w:tc>
        <w:tc>
          <w:tcPr>
            <w:tcW w:w="1842" w:type="dxa"/>
            <w:shd w:val="clear" w:color="auto" w:fill="auto"/>
          </w:tcPr>
          <w:p w:rsidR="00FA7223" w:rsidRPr="00DF21A7" w:rsidRDefault="00FA7223" w:rsidP="00B762C5">
            <w:pPr>
              <w:numPr>
                <w:ilvl w:val="0"/>
                <w:numId w:val="8"/>
              </w:numPr>
              <w:spacing w:after="0" w:line="240" w:lineRule="auto"/>
              <w:ind w:left="246" w:hanging="284"/>
              <w:jc w:val="both"/>
              <w:rPr>
                <w:rFonts w:ascii="Times New Roman" w:hAnsi="Times New Roman"/>
                <w:color w:val="000000"/>
              </w:rPr>
            </w:pPr>
            <w:r w:rsidRPr="00DF21A7">
              <w:rPr>
                <w:rFonts w:ascii="Times New Roman" w:hAnsi="Times New Roman"/>
                <w:color w:val="000000"/>
              </w:rPr>
              <w:lastRenderedPageBreak/>
              <w:t xml:space="preserve">za obecność na </w:t>
            </w:r>
            <w:r w:rsidRPr="00DF21A7">
              <w:rPr>
                <w:rFonts w:ascii="Times New Roman" w:hAnsi="Times New Roman"/>
                <w:color w:val="000000"/>
              </w:rPr>
              <w:lastRenderedPageBreak/>
              <w:t>szkoleniu – 6 pkt;</w:t>
            </w:r>
          </w:p>
          <w:p w:rsidR="00FA7223" w:rsidRPr="00DF21A7" w:rsidRDefault="00FA7223" w:rsidP="00B762C5">
            <w:pPr>
              <w:numPr>
                <w:ilvl w:val="0"/>
                <w:numId w:val="8"/>
              </w:numPr>
              <w:spacing w:after="0" w:line="240" w:lineRule="auto"/>
              <w:ind w:left="246" w:hanging="284"/>
              <w:jc w:val="both"/>
              <w:rPr>
                <w:rFonts w:ascii="Times New Roman" w:hAnsi="Times New Roman"/>
                <w:color w:val="000000"/>
              </w:rPr>
            </w:pPr>
            <w:r w:rsidRPr="00DF21A7">
              <w:rPr>
                <w:rFonts w:ascii="Times New Roman" w:hAnsi="Times New Roman"/>
                <w:color w:val="000000"/>
              </w:rPr>
              <w:t>za obecność na doradztwie – 12 pkt;</w:t>
            </w:r>
          </w:p>
          <w:p w:rsidR="00FA7223" w:rsidRPr="00DF21A7" w:rsidRDefault="00FA7223" w:rsidP="00B762C5">
            <w:pPr>
              <w:numPr>
                <w:ilvl w:val="0"/>
                <w:numId w:val="8"/>
              </w:numPr>
              <w:spacing w:after="0" w:line="240" w:lineRule="auto"/>
              <w:ind w:left="246" w:hanging="284"/>
              <w:jc w:val="both"/>
              <w:rPr>
                <w:rFonts w:ascii="Times New Roman" w:hAnsi="Times New Roman"/>
                <w:color w:val="000000"/>
              </w:rPr>
            </w:pPr>
            <w:r w:rsidRPr="00DF21A7">
              <w:rPr>
                <w:rFonts w:ascii="Times New Roman" w:hAnsi="Times New Roman"/>
                <w:color w:val="000000"/>
              </w:rPr>
              <w:t xml:space="preserve">za obecność na szkoleniu i doradztwie </w:t>
            </w:r>
            <w:r w:rsidRPr="00DF21A7">
              <w:rPr>
                <w:rFonts w:ascii="Times New Roman" w:hAnsi="Times New Roman"/>
                <w:b/>
                <w:i/>
                <w:color w:val="000000"/>
              </w:rPr>
              <w:t xml:space="preserve">– </w:t>
            </w:r>
            <w:r w:rsidRPr="00DF21A7">
              <w:rPr>
                <w:rFonts w:ascii="Times New Roman" w:hAnsi="Times New Roman"/>
                <w:color w:val="000000"/>
              </w:rPr>
              <w:t>18 pkt.</w:t>
            </w:r>
          </w:p>
        </w:tc>
        <w:tc>
          <w:tcPr>
            <w:tcW w:w="3969" w:type="dxa"/>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lastRenderedPageBreak/>
              <w:t xml:space="preserve">Z uwagi na konieczność wzmocnienia </w:t>
            </w:r>
            <w:r w:rsidRPr="00DF21A7">
              <w:rPr>
                <w:rFonts w:ascii="Times New Roman" w:eastAsia="Times New Roman" w:hAnsi="Times New Roman"/>
                <w:color w:val="000000"/>
                <w:lang w:eastAsia="pl-PL"/>
              </w:rPr>
              <w:lastRenderedPageBreak/>
              <w:t>słabo rozwiniętego kapitału społecznego istnieje potrzeba nieustannego wsparcia szkoleniowego i doradczego osób chcących założyć lub rozwinąć działalność gospodarczą. Dodatkowo element ten wpływa bezpośrednio na stopień realizacji przyjętego wskaźnika. Dlatego też preferowane będą projekty składane przez podmioty, które korzystały ze wsparcia szkoleniowego i doradczego. Tym działaniem LGD chce podnieść poziom wiedzy osób chcących uzyskać wsparcie od LGD.</w:t>
            </w:r>
          </w:p>
          <w:p w:rsidR="00FA7223" w:rsidRPr="00DF21A7" w:rsidRDefault="00FA7223" w:rsidP="00B762C5">
            <w:pPr>
              <w:spacing w:after="0" w:line="240" w:lineRule="auto"/>
              <w:rPr>
                <w:rFonts w:ascii="Times New Roman" w:eastAsia="Times New Roman" w:hAnsi="Times New Roman"/>
                <w:color w:val="000000"/>
                <w:lang w:eastAsia="pl-PL"/>
              </w:rPr>
            </w:pPr>
          </w:p>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hAnsi="Times New Roman"/>
                <w:color w:val="000000"/>
              </w:rPr>
              <w:t>Kryterium weryfikowane będzie na podstawie list obecności ze szkolenia i doradztwa</w:t>
            </w:r>
          </w:p>
        </w:tc>
        <w:tc>
          <w:tcPr>
            <w:tcW w:w="2414" w:type="dxa"/>
            <w:shd w:val="clear" w:color="auto" w:fill="auto"/>
            <w:vAlign w:val="center"/>
          </w:tcPr>
          <w:p w:rsidR="00FA7223" w:rsidRPr="00DF21A7" w:rsidRDefault="00FA7223" w:rsidP="00B762C5">
            <w:pPr>
              <w:spacing w:after="0" w:line="240" w:lineRule="auto"/>
              <w:jc w:val="center"/>
              <w:rPr>
                <w:rFonts w:ascii="Times New Roman" w:eastAsia="Times New Roman" w:hAnsi="Times New Roman"/>
                <w:color w:val="000000"/>
                <w:lang w:eastAsia="pl-PL"/>
              </w:rPr>
            </w:pPr>
            <w:r w:rsidRPr="00DF21A7">
              <w:rPr>
                <w:rFonts w:ascii="Times New Roman" w:eastAsia="Times New Roman" w:hAnsi="Times New Roman"/>
                <w:color w:val="000000"/>
                <w:lang w:eastAsia="pl-PL"/>
              </w:rPr>
              <w:lastRenderedPageBreak/>
              <w:t xml:space="preserve">Opis kapitału </w:t>
            </w:r>
            <w:r w:rsidRPr="00DF21A7">
              <w:rPr>
                <w:rFonts w:ascii="Times New Roman" w:eastAsia="Times New Roman" w:hAnsi="Times New Roman"/>
                <w:color w:val="000000"/>
                <w:lang w:eastAsia="pl-PL"/>
              </w:rPr>
              <w:lastRenderedPageBreak/>
              <w:t>zamieszczony został w Rozdziale III – Diagnoza pkt 1.1 i 4</w:t>
            </w:r>
          </w:p>
        </w:tc>
      </w:tr>
      <w:tr w:rsidR="00FA7223" w:rsidRPr="007B368F" w:rsidTr="00B762C5">
        <w:tc>
          <w:tcPr>
            <w:tcW w:w="1272" w:type="dxa"/>
            <w:shd w:val="clear" w:color="auto" w:fill="auto"/>
            <w:vAlign w:val="center"/>
          </w:tcPr>
          <w:p w:rsidR="00FA7223" w:rsidRPr="00DF21A7" w:rsidRDefault="00FA7223" w:rsidP="00B762C5">
            <w:pPr>
              <w:spacing w:after="0" w:line="240" w:lineRule="auto"/>
              <w:rPr>
                <w:rFonts w:ascii="Times New Roman" w:eastAsia="Times New Roman" w:hAnsi="Times New Roman"/>
                <w:b/>
                <w:color w:val="000000"/>
                <w:u w:val="single"/>
                <w:lang w:eastAsia="pl-PL"/>
              </w:rPr>
            </w:pPr>
            <w:r w:rsidRPr="00DF21A7">
              <w:rPr>
                <w:rFonts w:ascii="Times New Roman" w:eastAsia="Times New Roman" w:hAnsi="Times New Roman"/>
                <w:b/>
                <w:color w:val="000000"/>
                <w:u w:val="single"/>
                <w:lang w:eastAsia="pl-PL"/>
              </w:rPr>
              <w:lastRenderedPageBreak/>
              <w:t>Maksymalna liczba punktów</w:t>
            </w:r>
          </w:p>
        </w:tc>
        <w:tc>
          <w:tcPr>
            <w:tcW w:w="1842" w:type="dxa"/>
            <w:shd w:val="clear" w:color="auto" w:fill="auto"/>
            <w:vAlign w:val="center"/>
          </w:tcPr>
          <w:p w:rsidR="00FA7223" w:rsidRPr="00DF21A7" w:rsidRDefault="00FA7223" w:rsidP="00B762C5">
            <w:pPr>
              <w:spacing w:after="0" w:line="240" w:lineRule="auto"/>
              <w:rPr>
                <w:rFonts w:ascii="Times New Roman" w:eastAsia="Times New Roman" w:hAnsi="Times New Roman"/>
                <w:color w:val="000000"/>
                <w:lang w:eastAsia="pl-PL"/>
              </w:rPr>
            </w:pPr>
            <w:r w:rsidRPr="00DF21A7">
              <w:rPr>
                <w:rFonts w:ascii="Times New Roman" w:eastAsia="Times New Roman" w:hAnsi="Times New Roman"/>
                <w:color w:val="000000"/>
                <w:lang w:eastAsia="pl-PL"/>
              </w:rPr>
              <w:t>99 pkt</w:t>
            </w:r>
          </w:p>
        </w:tc>
        <w:tc>
          <w:tcPr>
            <w:tcW w:w="3969" w:type="dxa"/>
            <w:vAlign w:val="center"/>
          </w:tcPr>
          <w:p w:rsidR="00FA7223" w:rsidRPr="00DF21A7" w:rsidRDefault="00FA7223" w:rsidP="00B762C5">
            <w:pPr>
              <w:spacing w:after="0" w:line="240" w:lineRule="auto"/>
              <w:rPr>
                <w:rFonts w:ascii="Times New Roman" w:eastAsia="Times New Roman" w:hAnsi="Times New Roman"/>
                <w:b/>
                <w:color w:val="000000"/>
                <w:u w:val="single"/>
                <w:lang w:eastAsia="pl-PL"/>
              </w:rPr>
            </w:pPr>
          </w:p>
        </w:tc>
        <w:tc>
          <w:tcPr>
            <w:tcW w:w="2414" w:type="dxa"/>
            <w:shd w:val="clear" w:color="auto" w:fill="auto"/>
            <w:vAlign w:val="center"/>
          </w:tcPr>
          <w:p w:rsidR="00FA7223" w:rsidRPr="00DF21A7" w:rsidRDefault="00FA7223" w:rsidP="00B762C5">
            <w:pPr>
              <w:spacing w:after="0" w:line="240" w:lineRule="auto"/>
              <w:rPr>
                <w:rFonts w:ascii="Times New Roman" w:eastAsia="Times New Roman" w:hAnsi="Times New Roman"/>
                <w:b/>
                <w:color w:val="000000"/>
                <w:u w:val="single"/>
                <w:lang w:eastAsia="pl-PL"/>
              </w:rPr>
            </w:pPr>
          </w:p>
        </w:tc>
      </w:tr>
      <w:tr w:rsidR="00FA7223" w:rsidRPr="007B368F" w:rsidTr="00B762C5">
        <w:tc>
          <w:tcPr>
            <w:tcW w:w="1272" w:type="dxa"/>
            <w:shd w:val="clear" w:color="auto" w:fill="auto"/>
            <w:vAlign w:val="center"/>
          </w:tcPr>
          <w:p w:rsidR="00FA7223" w:rsidRPr="00DF21A7" w:rsidRDefault="00FA7223" w:rsidP="00B762C5">
            <w:pPr>
              <w:spacing w:after="0" w:line="240" w:lineRule="auto"/>
              <w:rPr>
                <w:rFonts w:ascii="Times New Roman" w:eastAsia="Times New Roman" w:hAnsi="Times New Roman"/>
                <w:b/>
                <w:color w:val="000000"/>
                <w:u w:val="single"/>
                <w:lang w:eastAsia="pl-PL"/>
              </w:rPr>
            </w:pPr>
            <w:r w:rsidRPr="00DF21A7">
              <w:rPr>
                <w:rFonts w:ascii="Times New Roman" w:eastAsia="Times New Roman" w:hAnsi="Times New Roman"/>
                <w:b/>
                <w:color w:val="000000"/>
                <w:u w:val="single"/>
                <w:lang w:eastAsia="pl-PL"/>
              </w:rPr>
              <w:t>Minimalna liczba punktów</w:t>
            </w:r>
          </w:p>
        </w:tc>
        <w:tc>
          <w:tcPr>
            <w:tcW w:w="1842" w:type="dxa"/>
            <w:shd w:val="clear" w:color="auto" w:fill="auto"/>
            <w:vAlign w:val="center"/>
          </w:tcPr>
          <w:p w:rsidR="00FA7223" w:rsidRPr="00DF21A7" w:rsidRDefault="00FA7223" w:rsidP="00B762C5">
            <w:pPr>
              <w:spacing w:after="0" w:line="240" w:lineRule="auto"/>
              <w:rPr>
                <w:rFonts w:ascii="Times New Roman" w:eastAsia="Times New Roman" w:hAnsi="Times New Roman"/>
                <w:color w:val="000000"/>
                <w:lang w:eastAsia="pl-PL"/>
              </w:rPr>
            </w:pPr>
            <w:r w:rsidRPr="00DF21A7">
              <w:rPr>
                <w:rFonts w:ascii="Times New Roman" w:eastAsia="Times New Roman" w:hAnsi="Times New Roman"/>
                <w:color w:val="000000"/>
                <w:lang w:eastAsia="pl-PL"/>
              </w:rPr>
              <w:t>50 pkt</w:t>
            </w:r>
          </w:p>
        </w:tc>
        <w:tc>
          <w:tcPr>
            <w:tcW w:w="3969" w:type="dxa"/>
            <w:vAlign w:val="center"/>
          </w:tcPr>
          <w:p w:rsidR="00FA7223" w:rsidRPr="00DF21A7" w:rsidRDefault="00FA7223" w:rsidP="00B762C5">
            <w:pPr>
              <w:spacing w:after="0" w:line="240" w:lineRule="auto"/>
              <w:rPr>
                <w:rFonts w:ascii="Times New Roman" w:eastAsia="Times New Roman" w:hAnsi="Times New Roman"/>
                <w:b/>
                <w:color w:val="000000"/>
                <w:u w:val="single"/>
                <w:lang w:eastAsia="pl-PL"/>
              </w:rPr>
            </w:pPr>
          </w:p>
        </w:tc>
        <w:tc>
          <w:tcPr>
            <w:tcW w:w="2414" w:type="dxa"/>
            <w:shd w:val="clear" w:color="auto" w:fill="auto"/>
            <w:vAlign w:val="center"/>
          </w:tcPr>
          <w:p w:rsidR="00FA7223" w:rsidRPr="00DF21A7" w:rsidRDefault="00FA7223" w:rsidP="00B762C5">
            <w:pPr>
              <w:spacing w:after="0" w:line="240" w:lineRule="auto"/>
              <w:rPr>
                <w:rFonts w:ascii="Times New Roman" w:eastAsia="Times New Roman" w:hAnsi="Times New Roman"/>
                <w:b/>
                <w:color w:val="000000"/>
                <w:u w:val="single"/>
                <w:lang w:eastAsia="pl-PL"/>
              </w:rPr>
            </w:pPr>
          </w:p>
        </w:tc>
      </w:tr>
    </w:tbl>
    <w:p w:rsidR="00624049" w:rsidRDefault="00624049" w:rsidP="00624049">
      <w:pPr>
        <w:spacing w:after="0" w:line="240" w:lineRule="auto"/>
        <w:rPr>
          <w:rFonts w:ascii="Times New Roman" w:hAnsi="Times New Roman"/>
          <w:b/>
        </w:rPr>
      </w:pPr>
    </w:p>
    <w:p w:rsidR="00514417" w:rsidRPr="00624049" w:rsidRDefault="00624049" w:rsidP="00624049">
      <w:pPr>
        <w:spacing w:after="0" w:line="360" w:lineRule="auto"/>
        <w:ind w:firstLine="708"/>
        <w:jc w:val="both"/>
        <w:rPr>
          <w:rFonts w:ascii="Times New Roman" w:hAnsi="Times New Roman"/>
          <w:color w:val="000000" w:themeColor="text1"/>
          <w:sz w:val="24"/>
          <w:szCs w:val="24"/>
        </w:rPr>
      </w:pPr>
      <w:r w:rsidRPr="00624049">
        <w:rPr>
          <w:rFonts w:ascii="Times New Roman" w:hAnsi="Times New Roman"/>
          <w:color w:val="000000" w:themeColor="text1"/>
          <w:sz w:val="24"/>
          <w:szCs w:val="24"/>
        </w:rPr>
        <w:t>W przypadku stwierdzenia tej samej liczby punktów wniosków, w sytuacji, gdy wszystkie nie mogą być wybrane do finansowania, decydują kryteria remisowe, tzn.:</w:t>
      </w:r>
    </w:p>
    <w:p w:rsidR="00624049" w:rsidRPr="00624049" w:rsidRDefault="00624049" w:rsidP="00624049">
      <w:pPr>
        <w:numPr>
          <w:ilvl w:val="0"/>
          <w:numId w:val="9"/>
        </w:numPr>
        <w:tabs>
          <w:tab w:val="left" w:pos="426"/>
        </w:tabs>
        <w:autoSpaceDE w:val="0"/>
        <w:autoSpaceDN w:val="0"/>
        <w:adjustRightInd w:val="0"/>
        <w:spacing w:after="0" w:line="360" w:lineRule="auto"/>
        <w:jc w:val="both"/>
        <w:rPr>
          <w:rFonts w:ascii="Times New Roman" w:hAnsi="Times New Roman"/>
          <w:color w:val="000000" w:themeColor="text1"/>
          <w:sz w:val="24"/>
          <w:szCs w:val="24"/>
        </w:rPr>
      </w:pPr>
      <w:r w:rsidRPr="00624049">
        <w:rPr>
          <w:rFonts w:ascii="Times New Roman" w:hAnsi="Times New Roman"/>
          <w:color w:val="000000" w:themeColor="text1"/>
          <w:sz w:val="24"/>
          <w:szCs w:val="24"/>
        </w:rPr>
        <w:t xml:space="preserve">W pierwszej kolejności brane jest pod uwagę kryterium </w:t>
      </w:r>
      <w:r w:rsidRPr="00624049">
        <w:rPr>
          <w:rFonts w:ascii="Times New Roman" w:hAnsi="Times New Roman"/>
          <w:i/>
          <w:color w:val="000000" w:themeColor="text1"/>
          <w:sz w:val="24"/>
          <w:szCs w:val="24"/>
        </w:rPr>
        <w:t>Przewidziany czas realizacji projektu od podpisania umowy</w:t>
      </w:r>
      <w:r w:rsidRPr="00624049">
        <w:rPr>
          <w:rFonts w:ascii="Times New Roman" w:hAnsi="Times New Roman"/>
          <w:color w:val="000000" w:themeColor="text1"/>
          <w:sz w:val="24"/>
          <w:szCs w:val="24"/>
        </w:rPr>
        <w:t>;</w:t>
      </w:r>
    </w:p>
    <w:p w:rsidR="00624049" w:rsidRPr="00624049" w:rsidRDefault="00624049" w:rsidP="00624049">
      <w:pPr>
        <w:numPr>
          <w:ilvl w:val="0"/>
          <w:numId w:val="9"/>
        </w:numPr>
        <w:tabs>
          <w:tab w:val="left" w:pos="426"/>
        </w:tabs>
        <w:autoSpaceDE w:val="0"/>
        <w:autoSpaceDN w:val="0"/>
        <w:adjustRightInd w:val="0"/>
        <w:spacing w:after="0" w:line="360" w:lineRule="auto"/>
        <w:jc w:val="both"/>
        <w:rPr>
          <w:rFonts w:ascii="Times New Roman" w:hAnsi="Times New Roman"/>
          <w:color w:val="000000" w:themeColor="text1"/>
          <w:sz w:val="24"/>
          <w:szCs w:val="24"/>
        </w:rPr>
      </w:pPr>
      <w:r w:rsidRPr="00624049">
        <w:rPr>
          <w:rFonts w:ascii="Times New Roman" w:hAnsi="Times New Roman"/>
          <w:color w:val="000000" w:themeColor="text1"/>
          <w:sz w:val="24"/>
          <w:szCs w:val="24"/>
        </w:rPr>
        <w:t xml:space="preserve">W przypadku, gdy nadal nie ma rozstrzygnięcia bierze się pod uwagę kryterium: </w:t>
      </w:r>
      <w:r w:rsidRPr="00624049">
        <w:rPr>
          <w:rFonts w:ascii="Times New Roman" w:hAnsi="Times New Roman"/>
          <w:i/>
          <w:color w:val="000000" w:themeColor="text1"/>
          <w:sz w:val="24"/>
          <w:szCs w:val="24"/>
        </w:rPr>
        <w:t xml:space="preserve">Czy Wnioskodawca zobowiązuje się do utworzenia miejsca pracy dla osób z grup </w:t>
      </w:r>
      <w:proofErr w:type="spellStart"/>
      <w:r w:rsidRPr="00624049">
        <w:rPr>
          <w:rFonts w:ascii="Times New Roman" w:hAnsi="Times New Roman"/>
          <w:i/>
          <w:color w:val="000000" w:themeColor="text1"/>
          <w:sz w:val="24"/>
          <w:szCs w:val="24"/>
        </w:rPr>
        <w:t>defaworyzowanych</w:t>
      </w:r>
      <w:proofErr w:type="spellEnd"/>
      <w:r w:rsidRPr="00624049">
        <w:rPr>
          <w:rFonts w:ascii="Times New Roman" w:hAnsi="Times New Roman"/>
          <w:i/>
          <w:color w:val="000000" w:themeColor="text1"/>
          <w:sz w:val="24"/>
          <w:szCs w:val="24"/>
        </w:rPr>
        <w:t xml:space="preserve"> określonych w LSR (tj. kobiety i osoby bezrobotne w wieku 25-44 lat);</w:t>
      </w:r>
    </w:p>
    <w:p w:rsidR="00624049" w:rsidRPr="00624049" w:rsidRDefault="00624049" w:rsidP="00624049">
      <w:pPr>
        <w:numPr>
          <w:ilvl w:val="0"/>
          <w:numId w:val="9"/>
        </w:numPr>
        <w:tabs>
          <w:tab w:val="left" w:pos="426"/>
        </w:tabs>
        <w:autoSpaceDE w:val="0"/>
        <w:autoSpaceDN w:val="0"/>
        <w:adjustRightInd w:val="0"/>
        <w:spacing w:after="0" w:line="360" w:lineRule="auto"/>
        <w:jc w:val="both"/>
        <w:rPr>
          <w:rFonts w:ascii="Times New Roman" w:hAnsi="Times New Roman"/>
          <w:color w:val="000000" w:themeColor="text1"/>
          <w:sz w:val="24"/>
          <w:szCs w:val="24"/>
        </w:rPr>
      </w:pPr>
      <w:r w:rsidRPr="00624049">
        <w:rPr>
          <w:rFonts w:ascii="Times New Roman" w:hAnsi="Times New Roman"/>
          <w:color w:val="000000" w:themeColor="text1"/>
          <w:sz w:val="24"/>
          <w:szCs w:val="24"/>
        </w:rPr>
        <w:t xml:space="preserve">Gdy dwa powyższe kryteria nie przyniosły rozstrzygnięcia bierze się trzecie kryterium </w:t>
      </w:r>
      <w:r w:rsidRPr="00624049">
        <w:rPr>
          <w:rFonts w:ascii="Times New Roman" w:hAnsi="Times New Roman"/>
          <w:i/>
          <w:color w:val="000000" w:themeColor="text1"/>
          <w:sz w:val="24"/>
          <w:szCs w:val="24"/>
        </w:rPr>
        <w:t>Czy wnioskodawca zobowiązuje się do stworzenia więcej niż wymagany w PROW 1 etat w przeliczeniu na etaty średnioroczne</w:t>
      </w:r>
      <w:r w:rsidRPr="00624049">
        <w:rPr>
          <w:rFonts w:ascii="Times New Roman" w:hAnsi="Times New Roman"/>
          <w:color w:val="000000" w:themeColor="text1"/>
          <w:sz w:val="24"/>
          <w:szCs w:val="24"/>
        </w:rPr>
        <w:t>.</w:t>
      </w:r>
    </w:p>
    <w:p w:rsidR="00624049" w:rsidRPr="00624049" w:rsidRDefault="00624049" w:rsidP="00624049">
      <w:pPr>
        <w:numPr>
          <w:ilvl w:val="0"/>
          <w:numId w:val="9"/>
        </w:numPr>
        <w:tabs>
          <w:tab w:val="left" w:pos="426"/>
        </w:tabs>
        <w:autoSpaceDE w:val="0"/>
        <w:autoSpaceDN w:val="0"/>
        <w:adjustRightInd w:val="0"/>
        <w:spacing w:after="0" w:line="360" w:lineRule="auto"/>
        <w:jc w:val="both"/>
        <w:rPr>
          <w:rFonts w:ascii="Times New Roman" w:hAnsi="Times New Roman"/>
          <w:color w:val="000000" w:themeColor="text1"/>
          <w:sz w:val="24"/>
          <w:szCs w:val="24"/>
        </w:rPr>
      </w:pPr>
      <w:r w:rsidRPr="00624049">
        <w:rPr>
          <w:rFonts w:ascii="Times New Roman" w:hAnsi="Times New Roman"/>
          <w:color w:val="000000" w:themeColor="text1"/>
          <w:sz w:val="24"/>
          <w:szCs w:val="24"/>
        </w:rPr>
        <w:t>W ostateczności decyduje data wpływu i numer pozycji w rejestrze korespondencji przychodzącej</w:t>
      </w:r>
      <w:r>
        <w:rPr>
          <w:rFonts w:ascii="Times New Roman" w:hAnsi="Times New Roman"/>
          <w:color w:val="000000" w:themeColor="text1"/>
          <w:sz w:val="24"/>
          <w:szCs w:val="24"/>
        </w:rPr>
        <w:t>.</w:t>
      </w:r>
    </w:p>
    <w:p w:rsidR="00624049" w:rsidRDefault="00624049" w:rsidP="00624049">
      <w:pPr>
        <w:jc w:val="both"/>
      </w:pPr>
    </w:p>
    <w:p w:rsidR="00624049" w:rsidRPr="00624049" w:rsidRDefault="00624049" w:rsidP="00624049">
      <w:pPr>
        <w:spacing w:after="0"/>
        <w:jc w:val="both"/>
        <w:rPr>
          <w:b/>
          <w:sz w:val="24"/>
          <w:szCs w:val="24"/>
          <w:u w:val="single"/>
        </w:rPr>
      </w:pPr>
      <w:r w:rsidRPr="00624049">
        <w:rPr>
          <w:rFonts w:ascii="Times New Roman" w:hAnsi="Times New Roman"/>
          <w:b/>
          <w:color w:val="000000"/>
          <w:sz w:val="24"/>
          <w:szCs w:val="24"/>
          <w:u w:val="single"/>
        </w:rPr>
        <w:t>Miejsce operacji na liście rankingowej określa średnia arytmetyczna (do dwóch miejsc po przecinku) wszystkich indywidualnych ocen.</w:t>
      </w:r>
    </w:p>
    <w:sectPr w:rsidR="00624049" w:rsidRPr="00624049" w:rsidSect="0051441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C0B" w:rsidRDefault="00625C0B" w:rsidP="00624049">
      <w:pPr>
        <w:spacing w:after="0" w:line="240" w:lineRule="auto"/>
      </w:pPr>
      <w:r>
        <w:separator/>
      </w:r>
    </w:p>
  </w:endnote>
  <w:endnote w:type="continuationSeparator" w:id="0">
    <w:p w:rsidR="00625C0B" w:rsidRDefault="00625C0B" w:rsidP="00624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49" w:rsidRDefault="00624049">
    <w:pPr>
      <w:pStyle w:val="Stopka"/>
    </w:pPr>
  </w:p>
  <w:p w:rsidR="00624049" w:rsidRPr="00ED2562" w:rsidRDefault="00624049" w:rsidP="00624049">
    <w:pPr>
      <w:spacing w:after="0" w:line="240" w:lineRule="auto"/>
      <w:jc w:val="center"/>
      <w:rPr>
        <w:rFonts w:ascii="Times New Roman" w:eastAsia="Times New Roman" w:hAnsi="Times New Roman"/>
        <w:sz w:val="18"/>
        <w:szCs w:val="18"/>
        <w:lang w:eastAsia="pl-PL"/>
      </w:rPr>
    </w:pPr>
    <w:r w:rsidRPr="00ED2562">
      <w:rPr>
        <w:rFonts w:ascii="Times New Roman" w:eastAsia="Times New Roman" w:hAnsi="Times New Roman"/>
        <w:sz w:val="18"/>
        <w:szCs w:val="18"/>
        <w:lang w:eastAsia="pl-PL"/>
      </w:rPr>
      <w:t>Europejski Fundusz Rolny na rzecz Rozwoju Obszarów Wiejskich.</w:t>
    </w:r>
  </w:p>
  <w:p w:rsidR="00624049" w:rsidRDefault="00624049" w:rsidP="00624049">
    <w:pPr>
      <w:tabs>
        <w:tab w:val="center" w:pos="4536"/>
        <w:tab w:val="right" w:pos="9072"/>
      </w:tabs>
      <w:spacing w:after="0" w:line="240" w:lineRule="auto"/>
      <w:jc w:val="center"/>
    </w:pPr>
    <w:r w:rsidRPr="00ED2562">
      <w:rPr>
        <w:rFonts w:ascii="Times New Roman" w:eastAsia="Times New Roman" w:hAnsi="Times New Roman"/>
        <w:sz w:val="18"/>
        <w:szCs w:val="18"/>
        <w:lang w:eastAsia="pl-PL"/>
      </w:rPr>
      <w:t>Europa inwestująca w obszary wiejskie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C0B" w:rsidRDefault="00625C0B" w:rsidP="00624049">
      <w:pPr>
        <w:spacing w:after="0" w:line="240" w:lineRule="auto"/>
      </w:pPr>
      <w:r>
        <w:separator/>
      </w:r>
    </w:p>
  </w:footnote>
  <w:footnote w:type="continuationSeparator" w:id="0">
    <w:p w:rsidR="00625C0B" w:rsidRDefault="00625C0B" w:rsidP="00624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049" w:rsidRDefault="00624049">
    <w:pPr>
      <w:pStyle w:val="Nagwek"/>
    </w:pPr>
  </w:p>
  <w:p w:rsidR="00624049" w:rsidRPr="00ED2562" w:rsidRDefault="00624049" w:rsidP="00624049">
    <w:pPr>
      <w:pStyle w:val="Nagwek"/>
      <w:rPr>
        <w:rFonts w:ascii="Times New Roman" w:eastAsia="Times New Roman" w:hAnsi="Times New Roman"/>
        <w:sz w:val="24"/>
        <w:szCs w:val="24"/>
        <w:lang w:eastAsia="pl-PL"/>
      </w:rPr>
    </w:pPr>
    <w:r>
      <w:rPr>
        <w:rFonts w:ascii="Times New Roman" w:eastAsia="Times New Roman" w:hAnsi="Times New Roman"/>
        <w:noProof/>
        <w:sz w:val="24"/>
        <w:lang w:eastAsia="pl-PL"/>
      </w:rPr>
      <w:drawing>
        <wp:inline distT="0" distB="0" distL="0" distR="0">
          <wp:extent cx="828675" cy="542925"/>
          <wp:effectExtent l="19050" t="0" r="9525" b="0"/>
          <wp:docPr id="1" name="Obraz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_yellow_low"/>
                  <pic:cNvPicPr>
                    <a:picLocks noChangeAspect="1" noChangeArrowheads="1"/>
                  </pic:cNvPicPr>
                </pic:nvPicPr>
                <pic:blipFill>
                  <a:blip r:embed="rId1"/>
                  <a:srcRect/>
                  <a:stretch>
                    <a:fillRect/>
                  </a:stretch>
                </pic:blipFill>
                <pic:spPr bwMode="auto">
                  <a:xfrm>
                    <a:off x="0" y="0"/>
                    <a:ext cx="828675" cy="542925"/>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lang w:eastAsia="pl-PL"/>
      </w:rPr>
      <w:drawing>
        <wp:inline distT="0" distB="0" distL="0" distR="0">
          <wp:extent cx="638175" cy="514350"/>
          <wp:effectExtent l="19050" t="0" r="9525" b="0"/>
          <wp:docPr id="2" name="Obraz 3" descr="BD_Logo_Bory_Dolnoslaskie_O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BD_Logo_Bory_Dolnoslaskie_OK_m"/>
                  <pic:cNvPicPr>
                    <a:picLocks noChangeAspect="1" noChangeArrowheads="1"/>
                  </pic:cNvPicPr>
                </pic:nvPicPr>
                <pic:blipFill>
                  <a:blip r:embed="rId2"/>
                  <a:srcRect/>
                  <a:stretch>
                    <a:fillRect/>
                  </a:stretch>
                </pic:blipFill>
                <pic:spPr bwMode="auto">
                  <a:xfrm>
                    <a:off x="0" y="0"/>
                    <a:ext cx="638175" cy="514350"/>
                  </a:xfrm>
                  <a:prstGeom prst="rect">
                    <a:avLst/>
                  </a:prstGeom>
                  <a:noFill/>
                  <a:ln w="9525">
                    <a:noFill/>
                    <a:miter lim="800000"/>
                    <a:headEnd/>
                    <a:tailEnd/>
                  </a:ln>
                </pic:spPr>
              </pic:pic>
            </a:graphicData>
          </a:graphic>
        </wp:inline>
      </w:drawing>
    </w:r>
    <w:r w:rsidRPr="00D51ED5">
      <w:rPr>
        <w:rFonts w:ascii="Times New Roman" w:eastAsia="Times New Roman" w:hAnsi="Times New Roman"/>
        <w:sz w:val="24"/>
        <w:lang w:eastAsia="pl-PL"/>
      </w:rPr>
      <w:t xml:space="preserve">                        </w:t>
    </w:r>
    <w:r>
      <w:rPr>
        <w:rFonts w:ascii="Times New Roman" w:eastAsia="Times New Roman" w:hAnsi="Times New Roman"/>
        <w:noProof/>
        <w:sz w:val="24"/>
        <w:szCs w:val="24"/>
        <w:lang w:eastAsia="pl-PL"/>
      </w:rPr>
      <w:drawing>
        <wp:inline distT="0" distB="0" distL="0" distR="0">
          <wp:extent cx="590550" cy="571500"/>
          <wp:effectExtent l="19050" t="0" r="0" b="0"/>
          <wp:docPr id="3" name="Obraz 2"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eader 07-13"/>
                  <pic:cNvPicPr>
                    <a:picLocks noChangeAspect="1" noChangeArrowheads="1"/>
                  </pic:cNvPicPr>
                </pic:nvPicPr>
                <pic:blipFill>
                  <a:blip r:embed="rId3"/>
                  <a:srcRect/>
                  <a:stretch>
                    <a:fillRect/>
                  </a:stretch>
                </pic:blipFill>
                <pic:spPr bwMode="auto">
                  <a:xfrm>
                    <a:off x="0" y="0"/>
                    <a:ext cx="590550" cy="571500"/>
                  </a:xfrm>
                  <a:prstGeom prst="rect">
                    <a:avLst/>
                  </a:prstGeom>
                  <a:noFill/>
                  <a:ln w="9525">
                    <a:noFill/>
                    <a:miter lim="800000"/>
                    <a:headEnd/>
                    <a:tailEnd/>
                  </a:ln>
                </pic:spPr>
              </pic:pic>
            </a:graphicData>
          </a:graphic>
        </wp:inline>
      </w:drawing>
    </w:r>
    <w:r>
      <w:rPr>
        <w:rFonts w:ascii="Times New Roman" w:eastAsia="Times New Roman" w:hAnsi="Times New Roman"/>
        <w:sz w:val="24"/>
        <w:lang w:eastAsia="pl-PL"/>
      </w:rPr>
      <w:t xml:space="preserve">                      </w:t>
    </w:r>
    <w:r w:rsidRPr="00D51ED5">
      <w:rPr>
        <w:rFonts w:ascii="Times New Roman" w:eastAsia="Times New Roman" w:hAnsi="Times New Roman"/>
        <w:sz w:val="24"/>
        <w:lang w:eastAsia="pl-PL"/>
      </w:rPr>
      <w:t xml:space="preserve">        </w:t>
    </w:r>
    <w:r>
      <w:rPr>
        <w:noProof/>
        <w:lang w:eastAsia="pl-PL"/>
      </w:rPr>
      <w:drawing>
        <wp:inline distT="0" distB="0" distL="0" distR="0">
          <wp:extent cx="981075" cy="638175"/>
          <wp:effectExtent l="19050" t="0" r="9525" b="0"/>
          <wp:docPr id="4" name="Obraz 1"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jpg"/>
                  <pic:cNvPicPr>
                    <a:picLocks noChangeAspect="1" noChangeArrowheads="1"/>
                  </pic:cNvPicPr>
                </pic:nvPicPr>
                <pic:blipFill>
                  <a:blip r:embed="rId4"/>
                  <a:srcRect/>
                  <a:stretch>
                    <a:fillRect/>
                  </a:stretch>
                </pic:blipFill>
                <pic:spPr bwMode="auto">
                  <a:xfrm>
                    <a:off x="0" y="0"/>
                    <a:ext cx="981075" cy="638175"/>
                  </a:xfrm>
                  <a:prstGeom prst="rect">
                    <a:avLst/>
                  </a:prstGeom>
                  <a:noFill/>
                  <a:ln w="9525">
                    <a:noFill/>
                    <a:miter lim="800000"/>
                    <a:headEnd/>
                    <a:tailEnd/>
                  </a:ln>
                </pic:spPr>
              </pic:pic>
            </a:graphicData>
          </a:graphic>
        </wp:inline>
      </w:drawing>
    </w:r>
  </w:p>
  <w:p w:rsidR="00624049" w:rsidRDefault="006240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03AFD"/>
    <w:multiLevelType w:val="hybridMultilevel"/>
    <w:tmpl w:val="92AC5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AF7511"/>
    <w:multiLevelType w:val="hybridMultilevel"/>
    <w:tmpl w:val="B8B20D6E"/>
    <w:lvl w:ilvl="0" w:tplc="0415000B">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 w15:restartNumberingAfterBreak="0">
    <w:nsid w:val="1DF615F6"/>
    <w:multiLevelType w:val="hybridMultilevel"/>
    <w:tmpl w:val="69EAA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695225B"/>
    <w:multiLevelType w:val="hybridMultilevel"/>
    <w:tmpl w:val="A45CF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6B724AD"/>
    <w:multiLevelType w:val="hybridMultilevel"/>
    <w:tmpl w:val="4BB83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8621DE7"/>
    <w:multiLevelType w:val="hybridMultilevel"/>
    <w:tmpl w:val="E79E2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02753C"/>
    <w:multiLevelType w:val="hybridMultilevel"/>
    <w:tmpl w:val="B0FC5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5EF2010"/>
    <w:multiLevelType w:val="hybridMultilevel"/>
    <w:tmpl w:val="E332A8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7FF104D2"/>
    <w:multiLevelType w:val="hybridMultilevel"/>
    <w:tmpl w:val="E0D26284"/>
    <w:lvl w:ilvl="0" w:tplc="F9A0F3EC">
      <w:start w:val="1"/>
      <w:numFmt w:val="decimal"/>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0"/>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24049"/>
    <w:rsid w:val="002E43CF"/>
    <w:rsid w:val="002F3F7D"/>
    <w:rsid w:val="00301B2B"/>
    <w:rsid w:val="00514417"/>
    <w:rsid w:val="006217CE"/>
    <w:rsid w:val="00624049"/>
    <w:rsid w:val="00625C0B"/>
    <w:rsid w:val="00666D29"/>
    <w:rsid w:val="00881B6C"/>
    <w:rsid w:val="00A62DE2"/>
    <w:rsid w:val="00D95932"/>
    <w:rsid w:val="00EA0294"/>
    <w:rsid w:val="00EF6089"/>
    <w:rsid w:val="00FA7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65FED-04E9-42B4-810A-900837C2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404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4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4049"/>
  </w:style>
  <w:style w:type="paragraph" w:styleId="Stopka">
    <w:name w:val="footer"/>
    <w:basedOn w:val="Normalny"/>
    <w:link w:val="StopkaZnak"/>
    <w:uiPriority w:val="99"/>
    <w:unhideWhenUsed/>
    <w:rsid w:val="00624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4049"/>
  </w:style>
  <w:style w:type="paragraph" w:styleId="Tekstdymka">
    <w:name w:val="Balloon Text"/>
    <w:basedOn w:val="Normalny"/>
    <w:link w:val="TekstdymkaZnak"/>
    <w:uiPriority w:val="99"/>
    <w:semiHidden/>
    <w:unhideWhenUsed/>
    <w:rsid w:val="006240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4049"/>
    <w:rPr>
      <w:rFonts w:ascii="Tahoma" w:hAnsi="Tahoma" w:cs="Tahoma"/>
      <w:sz w:val="16"/>
      <w:szCs w:val="16"/>
    </w:rPr>
  </w:style>
  <w:style w:type="paragraph" w:styleId="Akapitzlist">
    <w:name w:val="List Paragraph"/>
    <w:basedOn w:val="Normalny"/>
    <w:uiPriority w:val="34"/>
    <w:qFormat/>
    <w:rsid w:val="00624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1460</Words>
  <Characters>8763</Characters>
  <Application>Microsoft Office Word</Application>
  <DocSecurity>0</DocSecurity>
  <Lines>73</Lines>
  <Paragraphs>20</Paragraphs>
  <ScaleCrop>false</ScaleCrop>
  <Company/>
  <LinksUpToDate>false</LinksUpToDate>
  <CharactersWithSpaces>10203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Urszula Antonczyk</cp:lastModifiedBy>
  <cp:revision>6</cp:revision>
  <dcterms:created xsi:type="dcterms:W3CDTF">2016-11-22T11:45:00Z</dcterms:created>
  <dcterms:modified xsi:type="dcterms:W3CDTF">2017-07-14T08:42:00Z</dcterms:modified>
</cp:coreProperties>
</file>