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725"/>
        <w:gridCol w:w="968"/>
        <w:gridCol w:w="82"/>
        <w:gridCol w:w="907"/>
        <w:gridCol w:w="53"/>
        <w:gridCol w:w="931"/>
        <w:gridCol w:w="24"/>
        <w:gridCol w:w="935"/>
        <w:gridCol w:w="6"/>
        <w:gridCol w:w="929"/>
        <w:gridCol w:w="36"/>
        <w:gridCol w:w="899"/>
        <w:gridCol w:w="65"/>
        <w:gridCol w:w="871"/>
        <w:gridCol w:w="94"/>
        <w:gridCol w:w="965"/>
      </w:tblGrid>
      <w:tr w:rsidR="000D1207" w:rsidTr="00FF4C7C">
        <w:tc>
          <w:tcPr>
            <w:tcW w:w="2733" w:type="dxa"/>
            <w:shd w:val="clear" w:color="auto" w:fill="D9D9D9" w:themeFill="background1" w:themeFillShade="D9"/>
          </w:tcPr>
          <w:p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0D1207" w:rsidRPr="000433C8" w:rsidRDefault="000D1207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  <w:sz w:val="22"/>
                <w:szCs w:val="22"/>
              </w:rPr>
              <w:t>4 750 000 PLN</w:t>
            </w: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F75F34" w:rsidRPr="000433C8" w:rsidRDefault="00A7080E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1 757 500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FF4C7C">
        <w:trPr>
          <w:trHeight w:val="2020"/>
        </w:trPr>
        <w:tc>
          <w:tcPr>
            <w:tcW w:w="2733" w:type="dxa"/>
          </w:tcPr>
          <w:p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pracowników</w:t>
            </w:r>
            <w:proofErr w:type="spellEnd"/>
          </w:p>
          <w:p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229.324,31</w:t>
            </w:r>
          </w:p>
        </w:tc>
        <w:tc>
          <w:tcPr>
            <w:tcW w:w="940" w:type="dxa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biura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26.681,98</w:t>
            </w:r>
          </w:p>
        </w:tc>
        <w:tc>
          <w:tcPr>
            <w:tcW w:w="940" w:type="dxa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0433C8">
        <w:trPr>
          <w:trHeight w:val="87"/>
        </w:trPr>
        <w:tc>
          <w:tcPr>
            <w:tcW w:w="2733" w:type="dxa"/>
          </w:tcPr>
          <w:p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4069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A24069" w:rsidRPr="000433C8" w:rsidRDefault="00A24069" w:rsidP="000D1207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Współpraca</w:t>
            </w:r>
          </w:p>
          <w:p w:rsidR="00A24069" w:rsidRPr="0085021E" w:rsidRDefault="00A24069" w:rsidP="000D120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</w:rPr>
              <w:t>(art. 35 ust. 1 lit. c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Kwota na lata 2014-202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:rsidR="00A24069" w:rsidRDefault="00A7080E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380</w:t>
            </w:r>
            <w:r w:rsidR="00A24069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 000 PLN</w:t>
            </w:r>
          </w:p>
          <w:p w:rsidR="00A24069" w:rsidRDefault="00A24069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A24069" w:rsidRPr="000D1207" w:rsidRDefault="00A24069" w:rsidP="004F6DBA">
            <w:pPr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</w:p>
        </w:tc>
      </w:tr>
      <w:tr w:rsidR="00A24069" w:rsidTr="005C2059">
        <w:tc>
          <w:tcPr>
            <w:tcW w:w="2733" w:type="dxa"/>
            <w:vMerge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2023</w:t>
            </w:r>
          </w:p>
        </w:tc>
      </w:tr>
      <w:tr w:rsidR="00A24069" w:rsidTr="005C2059">
        <w:tc>
          <w:tcPr>
            <w:tcW w:w="2733" w:type="dxa"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6A6227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521A6F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75F34" w:rsidRDefault="00F75F34"/>
    <w:p w:rsidR="000D1207" w:rsidRDefault="000D1207"/>
    <w:p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6"/>
    <w:rsid w:val="000433C8"/>
    <w:rsid w:val="00067CF9"/>
    <w:rsid w:val="000D1207"/>
    <w:rsid w:val="00227241"/>
    <w:rsid w:val="002D0B10"/>
    <w:rsid w:val="004B1624"/>
    <w:rsid w:val="00521A6F"/>
    <w:rsid w:val="005F209D"/>
    <w:rsid w:val="006A6227"/>
    <w:rsid w:val="00793BFA"/>
    <w:rsid w:val="0085021E"/>
    <w:rsid w:val="00911060"/>
    <w:rsid w:val="009B01CA"/>
    <w:rsid w:val="00A072F3"/>
    <w:rsid w:val="00A24069"/>
    <w:rsid w:val="00A7080E"/>
    <w:rsid w:val="00B756E9"/>
    <w:rsid w:val="00C13060"/>
    <w:rsid w:val="00CA3E06"/>
    <w:rsid w:val="00EE325A"/>
    <w:rsid w:val="00EE3BF5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F287-762B-460A-A885-670F23A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Urszula Antonczyk</cp:lastModifiedBy>
  <cp:revision>3</cp:revision>
  <dcterms:created xsi:type="dcterms:W3CDTF">2018-02-27T11:29:00Z</dcterms:created>
  <dcterms:modified xsi:type="dcterms:W3CDTF">2019-02-28T09:51:00Z</dcterms:modified>
</cp:coreProperties>
</file>