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Regulamin naboru wniosków i zasad realizacji projektu grantowego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współfinansowanego w ramach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Europejskiego Funduszu Społecznego Plus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Fundusze Europejskie dla Lubuskie 2021-2027,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Priorytet 7  Fundusze Europejskie na rozwój lokalny kierowany przez społeczność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  <w:w w:val="85"/>
        </w:rPr>
      </w:pPr>
      <w:r>
        <w:rPr>
          <w:b/>
        </w:rPr>
        <w:t>Działanie numer</w:t>
      </w:r>
      <w:r>
        <w:rPr>
          <w:b/>
          <w:w w:val="85"/>
        </w:rPr>
        <w:t xml:space="preserve"> </w:t>
      </w:r>
      <w:r>
        <w:rPr>
          <w:rFonts w:cs="Arial"/>
          <w:b/>
        </w:rPr>
        <w:t>FELB.07.01</w:t>
      </w:r>
      <w:r>
        <w:rPr>
          <w:b/>
        </w:rPr>
        <w:t xml:space="preserve"> </w:t>
      </w:r>
      <w:r>
        <w:rPr>
          <w:rFonts w:cs="Arial"/>
          <w:b/>
        </w:rPr>
        <w:t>Aktywizacja społeczności lokalnej w placówkach edukacyjnyc</w:t>
      </w:r>
      <w:r>
        <w:rPr>
          <w:rFonts w:cs="Arial"/>
          <w:b/>
          <w:shd w:fill="FFFFFF" w:val="clear"/>
        </w:rPr>
        <w:t xml:space="preserve">h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dla celu C.1.(f)  Wspieranie równego dostępu do dobrej jakości,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włączającego kształcenia i szkolenia oraz możliwości ich ukończenia,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 szczególności w odniesieniu do grup w niekorzystnej sytuacji,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od wczesnej edukacji i opieki nad dzieckiem przez ogólne i zawodowe kształcenie i szkolenie,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po szkolnictwo wyższe, a także kształcenie i uczenie się dorosłych,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 tym ułatwianie mobilności edukacyjnej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dla wszystkich i dostępności osób z niepełnosprawnościami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256155" cy="21799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pistreci1"/>
            <w:rPr/>
          </w:pPr>
          <w:r>
            <w:rPr>
              <w:b/>
            </w:rPr>
            <w:t>SPIS TREŚCI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r>
            <w:fldChar w:fldCharType="begin"/>
          </w:r>
          <w:r>
            <w:rPr>
              <w:webHidden/>
              <w:rStyle w:val="Czeindeksu"/>
              <w:vanish w:val="false"/>
            </w:rPr>
            <w:instrText xml:space="preserve"> TOC \z \o "1-3" \u \h</w:instrText>
          </w:r>
          <w:r>
            <w:rPr>
              <w:webHidden/>
              <w:rStyle w:val="Czeindeksu"/>
              <w:vanish w:val="false"/>
            </w:rPr>
            <w:fldChar w:fldCharType="separate"/>
          </w:r>
          <w:hyperlink w:anchor="_Toc16303454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_Toc163034549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 INFORMACJE PODSTAWOWE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0">
            <w:r>
              <w:rPr>
                <w:webHidden/>
                <w:rStyle w:val="Czeindeksu"/>
                <w:vanish w:val="false"/>
              </w:rPr>
              <w:t>Rozdział II WYKAZ AKTÓW PRAWNYCH</w:t>
              <w:tab/>
            </w:r>
          </w:hyperlink>
          <w:r>
            <w:rPr>
              <w:vanish w:val="false"/>
            </w:rPr>
            <w:t>4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III SŁOWNICZEK I WYKAZ SKRÓTÓW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IV CEL POWIERZENIA GRANTÓW, ZAKRES ZADAŃ MOŻLIWYCH DO REALIZACJI ORAZ GRUPA DOCELOWA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3">
            <w:r>
              <w:rPr>
                <w:webHidden/>
                <w:rStyle w:val="Czeindeksu"/>
                <w:vanish w:val="false"/>
              </w:rPr>
              <w:t>Rozdział V PODMIOTY UPRAWNIONE DO UBIEGANIA SIĘ O GRANT</w:t>
              <w:tab/>
            </w:r>
          </w:hyperlink>
          <w:r>
            <w:rPr/>
            <w:t>6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4">
            <w:r>
              <w:rPr>
                <w:webHidden/>
                <w:rStyle w:val="Czeindeksu"/>
                <w:vanish w:val="false"/>
              </w:rPr>
              <w:t>Rozdział VI ZAKRESY WSPARCIA NA WDRAŻANIE LSR, KTÓRYCH DOTYCZY NABÓR WNIOSKÓW</w:t>
              <w:tab/>
            </w:r>
          </w:hyperlink>
          <w:r>
            <w:rPr/>
            <w:t>7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VII ALOKACJA, SPOSÓB SZACOWANIA GRANTU I FORMA FINANSOWANIA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1. Limity środków przeznaczonych na udzielenie wsparcia w ramach projektu grantowego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7">
            <w:r>
              <w:rPr>
                <w:webHidden/>
                <w:rStyle w:val="Czeindeksu"/>
                <w:vanish w:val="false"/>
              </w:rPr>
              <w:t>2. Sposób szacowania wysokości grantów</w:t>
              <w:tab/>
            </w:r>
          </w:hyperlink>
          <w:r>
            <w:rPr>
              <w:vanish w:val="false"/>
            </w:rPr>
            <w:t>9</w:t>
          </w:r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8">
            <w:r>
              <w:rPr>
                <w:webHidden/>
                <w:rStyle w:val="Czeindeksu"/>
                <w:vanish w:val="false"/>
              </w:rPr>
              <w:t>3. Forma wsparcia</w:t>
            </w:r>
          </w:hyperlink>
          <w:hyperlink w:anchor="_Toc16303455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rPr>
              <w:vanish w:val="false"/>
            </w:rPr>
            <w:t>9</w:t>
          </w:r>
        </w:p>
        <w:p>
          <w:pPr>
            <w:pStyle w:val="Normal"/>
            <w:rPr>
              <w:rFonts w:ascii="Calibri" w:hAnsi="Calibri" w:asciiTheme="minorHAnsi" w:hAnsiTheme="minorHAnsi"/>
              <w:sz w:val="22"/>
              <w:lang w:eastAsia="pl-PL"/>
            </w:rPr>
          </w:pPr>
          <w:r>
            <w:rPr>
              <w:vanish w:val="false"/>
            </w:rPr>
            <w:t xml:space="preserve">    </w:t>
          </w:r>
          <w:r>
            <w:rPr>
              <w:vanish w:val="false"/>
            </w:rPr>
            <w:t>4. Zasady wypłacania grantów……………………………………………………………………………….10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9">
            <w:r>
              <w:rPr>
                <w:webHidden/>
                <w:rStyle w:val="Czeindeksu"/>
                <w:vanish w:val="false"/>
              </w:rPr>
              <w:t>Rozdział VIII WARUNKI UDZIELENIA WSPARCIA NA REALIZACJĘ PROJEKTU OBJĘTEGO GRANTEM</w:t>
            </w:r>
          </w:hyperlink>
          <w:r>
            <w:rPr>
              <w:vanish w:val="false"/>
            </w:rPr>
            <w:t xml:space="preserve">                                                                                                                                               10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0">
            <w:r>
              <w:rPr>
                <w:webHidden/>
                <w:rStyle w:val="Czeindeksu"/>
                <w:vanish w:val="false"/>
              </w:rPr>
              <w:t>Rozdział IX WYBÓR, OCENA, SPOSÓB ROZLICZANIA GRANTÓW</w:t>
              <w:tab/>
              <w:t>1</w:t>
            </w:r>
          </w:hyperlink>
          <w:r>
            <w:rPr>
              <w:vanish w:val="false"/>
            </w:rPr>
            <w:t>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1">
            <w:r>
              <w:rPr>
                <w:webHidden/>
                <w:rStyle w:val="Czeindeksu"/>
                <w:vanish w:val="false"/>
              </w:rPr>
              <w:t>Rozdział X KOSZTY KWALIFIKOWALNE I NIEKWALIFIKOWALNE</w:t>
              <w:tab/>
              <w:t>1</w:t>
            </w:r>
          </w:hyperlink>
          <w:r>
            <w:rPr>
              <w:vanish w:val="false"/>
            </w:rPr>
            <w:t>3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2">
            <w:r>
              <w:rPr>
                <w:webHidden/>
                <w:rStyle w:val="Czeindeksu"/>
                <w:vanish w:val="false"/>
              </w:rPr>
              <w:t>Rozdział XI WSKAŹNIKI DO OSIĄGNIĘCIA W RAMACH REALIZACJI PROJEKTU OBJĘTEGO GRANTEM</w:t>
              <w:tab/>
              <w:t>1</w:t>
            </w:r>
          </w:hyperlink>
          <w:r>
            <w:rPr>
              <w:vanish w:val="false"/>
            </w:rPr>
            <w:t>5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3">
            <w:r>
              <w:rPr>
                <w:webHidden/>
                <w:rStyle w:val="Czeindeksu"/>
                <w:vanish w:val="false"/>
              </w:rPr>
              <w:t>Rozdział XII TERMIN, SPOSÓB I FORMA SKŁADANIA WNIOSKÓW</w:t>
              <w:tab/>
              <w:t>1</w:t>
            </w:r>
          </w:hyperlink>
          <w:r>
            <w:rPr>
              <w:vanish w:val="false"/>
            </w:rPr>
            <w:t>9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4">
            <w:r>
              <w:rPr>
                <w:webHidden/>
                <w:rStyle w:val="Czeindeksu"/>
                <w:vanish w:val="false"/>
              </w:rPr>
              <w:t>Rozdział XIII PODSTAWOWE OBOWIĄZKI GRANTOBIORCY</w:t>
              <w:tab/>
            </w:r>
          </w:hyperlink>
          <w:r>
            <w:rPr>
              <w:vanish w:val="false"/>
            </w:rPr>
            <w:t>20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5">
            <w:r>
              <w:rPr>
                <w:webHidden/>
                <w:rStyle w:val="Czeindeksu"/>
                <w:vanish w:val="false"/>
              </w:rPr>
              <w:t>Rozdział XIV SPOSÓB ROZLICZANIA GRANTÓW, MONITOROWANIE I KONTROLA</w:t>
              <w:tab/>
            </w:r>
          </w:hyperlink>
          <w:r>
            <w:rPr>
              <w:vanish w:val="false"/>
            </w:rPr>
            <w:t>20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6">
            <w:r>
              <w:rPr>
                <w:webHidden/>
                <w:rStyle w:val="Czeindeksu"/>
                <w:vanish w:val="false"/>
              </w:rPr>
              <w:t>Rozdział XV POSTANOWIENIA KOŃCOWE</w:t>
              <w:tab/>
            </w:r>
          </w:hyperlink>
          <w:r>
            <w:rPr>
              <w:vanish w:val="false"/>
            </w:rPr>
            <w:t>21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7">
            <w:r>
              <w:rPr>
                <w:webHidden/>
                <w:rStyle w:val="Czeindeksu"/>
                <w:vanish w:val="false"/>
              </w:rPr>
              <w:t>Rozdział XVI DODATKOWE INFORMACJE NA TEMAT NABORU</w:t>
              <w:tab/>
              <w:t>2</w:t>
            </w:r>
          </w:hyperlink>
          <w:r>
            <w:rPr>
              <w:vanish w:val="false"/>
            </w:rPr>
            <w:t>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8">
            <w:r>
              <w:rPr>
                <w:webHidden/>
                <w:rStyle w:val="Czeindeksu"/>
                <w:rFonts w:eastAsia="Calibri" w:eastAsiaTheme="minorHAnsi"/>
                <w:vanish w:val="false"/>
              </w:rPr>
              <w:t>Załączniki do Regulaminu</w:t>
            </w:r>
            <w:r>
              <w:rPr>
                <w:rStyle w:val="Czeindeksu"/>
              </w:rPr>
              <w:t>:</w:t>
              <w:tab/>
              <w:t>2</w:t>
            </w:r>
          </w:hyperlink>
          <w:r>
            <w:rPr/>
            <w:t>1</w:t>
          </w:r>
        </w:p>
        <w:p>
          <w:pPr>
            <w:pStyle w:val="Spistreci1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tabs>
          <w:tab w:val="clear" w:pos="708"/>
          <w:tab w:val="left" w:pos="6762" w:leader="none"/>
        </w:tabs>
        <w:jc w:val="left"/>
        <w:rPr/>
      </w:pPr>
      <w:r>
        <w:rPr/>
        <w:tab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agwek1"/>
        <w:jc w:val="left"/>
        <w:rPr/>
      </w:pPr>
      <w:bookmarkStart w:id="0" w:name="_Toc163034549"/>
      <w:r>
        <w:rPr/>
        <w:t>Rozdział I INFORMACJE PODSTAWOWE</w:t>
      </w:r>
      <w:bookmarkEnd w:id="0"/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Regulamin w szczególności określa cel i zakres konkursu, zasady jego organizacji, warunki uczestnictwa, sposób wyboru projektów, wzory dokumentów niezbędnych do ubiegania się 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</w:t>
      </w:r>
      <w:r>
        <w:rPr>
          <w:szCs w:val="24"/>
          <w:shd w:fill="FFFFFF" w:val="clear"/>
        </w:rPr>
        <w:t xml:space="preserve">ć, Działanie nr FELB 07.01. Aktywizacja społeczności lokalnej w placówkach edukacyjnych dla celu szczegółowego (f) </w:t>
      </w:r>
      <w:r>
        <w:rPr>
          <w:szCs w:val="24"/>
        </w:rPr>
        <w:t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Niniejszy konkurs organizowany jest przez Stowarzyszenie - Lokalna Grupa Działania Bory Dolnośląskie w oparciu o kryteria wyboru operacji określone w Załączniku nr 2 (Szczegółowy opis kryteriów wyboru projektów grantowych realizowanych ze środków EFS+) do Procedury wyboru i oceny grantobiorców w ramach projektów grantowych wraz z opisem sposobu rozliczania grantów,  monitorowania i kontroli, współfinansowanego w ramach Europejskiego Funduszu Społecznego Plus Fundusze Europejskie dla Lubuskiego 2021-2027. Wsparcie w ramach niniejszego działania/przedsięwzięcia musi spełniać warunki określone dla </w:t>
      </w:r>
      <w:r>
        <w:rPr>
          <w:color w:val="000000"/>
          <w:szCs w:val="24"/>
        </w:rPr>
        <w:t>Przedsięwzięcie P.2.1. Wspieranie działań o charakterze edukacyjnym, kulturalnym, integracyjnym, animacyjnym, sportowym.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Niniejszy Regulamin określa warunki naboru, zasady uczestnictwa w projekcie grantowym nr </w:t>
      </w:r>
      <w:r>
        <w:rPr>
          <w:b/>
          <w:bCs/>
          <w:szCs w:val="24"/>
        </w:rPr>
        <w:t>FELB.07.01-IZ.00-001/24 Aktywizacja lokalnej społeczności w placówkach edukacyjnych cz.1</w:t>
      </w:r>
      <w:r>
        <w:rPr>
          <w:szCs w:val="24"/>
        </w:rPr>
        <w:t xml:space="preserve"> oraz wzory dokumentów niezbędnych do ubiegania się o powierzenie Grantu i jego rozliczenie.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Nabór prowadzony jest w sposób konkursowy.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Grantodawca z</w:t>
      </w:r>
      <w:r>
        <w:rPr>
          <w:color w:val="000000"/>
          <w:szCs w:val="24"/>
        </w:rPr>
        <w:t xml:space="preserve">akłada, że na obszarze każdej z gmin z obszaru LSR tj. gm. Wymiarki, gm. Małomice, gm. Iłowa, gm. Gozdnica, przewiduje realizację jednego Zadania </w:t>
      </w:r>
      <w:r>
        <w:rPr>
          <w:b/>
          <w:bCs/>
          <w:color w:val="000000"/>
          <w:szCs w:val="24"/>
        </w:rPr>
        <w:t>( Grantu ).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Regulamin oraz wszystkie niezbędne dokumenty umożliwiające prawidłowe przygotowanie Wniosku o powierzenie grantu w ramach danego naboru dostępne są na stronie internetowej Grantodawcy. 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Przystąpienie do naboru jest równoznaczne z akceptacją przez Grantobiorcę postanowień niniejszego Regulaminu.</w:t>
      </w:r>
    </w:p>
    <w:p>
      <w:pPr>
        <w:pStyle w:val="Nagwek1"/>
        <w:jc w:val="left"/>
        <w:rPr/>
      </w:pPr>
      <w:bookmarkStart w:id="1" w:name="_Toc163034550"/>
      <w:r>
        <w:rPr/>
        <w:t>Rozdział II WYKAZ AKTÓW PRAWNYCH</w:t>
      </w:r>
      <w:bookmarkEnd w:id="1"/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Program Regionalny - Fundusze Europejskie dla Lubuskiego 2021-2027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PS WPR – Plan Strategiczny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PS WPR – ustawa z dnia 8 lutego 2023 r. o Planie Strategicznym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RLKS – ustawa z dnia 20 lutego 2015 r. o rozwoju lokalnym z udziałem lokalnej społeczności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podstawowe - Wytyczne podstawowe w zakresie pomocy finansowej w ramach Planu Strategicznego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 – komponent Wdrażanie LSR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z dnia 28 kwietnia 2022 r. o zasadach realizacji zadań finansowanych ze środków europejskich w perspektywie finansowej 2021–2027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dotyczące wyboru projektów na lata 2021-2027 Ministra Funduszy i Polityki Regionalnej.</w:t>
      </w:r>
    </w:p>
    <w:p>
      <w:pPr>
        <w:pStyle w:val="Nagwek1"/>
        <w:jc w:val="left"/>
        <w:rPr/>
      </w:pPr>
      <w:bookmarkStart w:id="2" w:name="_Toc163034551"/>
      <w:r>
        <w:rPr/>
        <w:t>Rozdział III SŁOWNICZEK I WYKAZ SKRÓTÓW</w:t>
      </w:r>
      <w:bookmarkEnd w:id="2"/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Grantodawca</w:t>
      </w:r>
      <w:r>
        <w:rPr>
          <w:rFonts w:cs="Arial"/>
          <w:szCs w:val="24"/>
        </w:rPr>
        <w:t xml:space="preserve"> – Beneficjent projektu grantowego, </w:t>
      </w:r>
      <w:r>
        <w:rPr>
          <w:rFonts w:cs="Arial"/>
          <w:i/>
          <w:iCs/>
          <w:szCs w:val="24"/>
        </w:rPr>
        <w:t>(Stowarzyszenie - Lokalna Grupa Działania Bory Dolnośląskie)</w:t>
      </w:r>
      <w:r>
        <w:rPr>
          <w:rFonts w:cs="Arial"/>
          <w:szCs w:val="24"/>
        </w:rPr>
        <w:t xml:space="preserve">, Beneficjent projektu. „…….” </w:t>
      </w:r>
      <w:r>
        <w:rPr>
          <w:rFonts w:cs="Arial"/>
          <w:i/>
          <w:iCs/>
          <w:szCs w:val="24"/>
        </w:rPr>
        <w:t>(numer i tytuł projektu),</w:t>
      </w:r>
      <w:r>
        <w:rPr>
          <w:szCs w:val="24"/>
        </w:rPr>
        <w:t xml:space="preserve"> współfinansowanego </w:t>
      </w:r>
      <w:r>
        <w:rPr>
          <w:rFonts w:cs="Arial"/>
          <w:szCs w:val="24"/>
        </w:rPr>
        <w:t xml:space="preserve">w ramach Europejskiego Funduszu Społecznego Plus, Priorytet 7 – Fundusze Europejskie na rozwój lokalny kierowany przez społeczność, Działanie   </w:t>
      </w:r>
      <w:r>
        <w:rPr>
          <w:rFonts w:cs="Arial"/>
          <w:b/>
          <w:szCs w:val="24"/>
        </w:rPr>
        <w:t>FELB.07.01</w:t>
      </w:r>
      <w:r>
        <w:rPr>
          <w:b/>
          <w:szCs w:val="24"/>
        </w:rPr>
        <w:t xml:space="preserve"> </w:t>
      </w:r>
      <w:r>
        <w:rPr>
          <w:rFonts w:cs="Arial"/>
          <w:b/>
          <w:szCs w:val="24"/>
        </w:rPr>
        <w:t>Aktywizacja społeczności lokalnej w placówkach edukacyjnych</w:t>
      </w:r>
      <w:r>
        <w:rPr>
          <w:rFonts w:cs="Arial"/>
          <w:szCs w:val="24"/>
        </w:rPr>
        <w:t xml:space="preserve"> Regionalnego Programu Fundusze Europejskie dla Lubuskiego 2021-2027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Zadanie</w:t>
      </w:r>
      <w:r>
        <w:rPr>
          <w:rFonts w:cs="Arial"/>
          <w:szCs w:val="24"/>
        </w:rPr>
        <w:t xml:space="preserve"> – grant przewidziany do realizacji na obszarze danej  gminy z obszaru objętego LSR i skierowany do mieszkańców tej gminy</w:t>
      </w:r>
    </w:p>
    <w:p>
      <w:pPr>
        <w:pStyle w:val="ListParagraph"/>
        <w:numPr>
          <w:ilvl w:val="0"/>
          <w:numId w:val="2"/>
        </w:numPr>
        <w:spacing w:before="0" w:after="0"/>
        <w:ind w:left="704" w:hanging="420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Grant</w:t>
      </w:r>
      <w:r>
        <w:rPr>
          <w:rFonts w:cs="Arial"/>
          <w:szCs w:val="24"/>
        </w:rPr>
        <w:t xml:space="preserve"> – środki finansowe, które Grantodawca powierzy Grantobiorcy, na realizację zadań służących osiągnięciu celu projektu grantowego</w:t>
      </w:r>
      <w:r>
        <w:rPr>
          <w:rFonts w:cs="Arial"/>
          <w:b/>
          <w:bCs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before="0" w:after="0"/>
        <w:ind w:left="704" w:hanging="420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Grantobiorca </w:t>
      </w:r>
      <w:r>
        <w:rPr>
          <w:rFonts w:cs="Arial"/>
          <w:szCs w:val="24"/>
        </w:rPr>
        <w:t>– podmiot, z którym zawarta będzie Umowa o powierzenie grantu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Wniosek</w:t>
      </w:r>
      <w:r>
        <w:rPr>
          <w:rFonts w:cs="Arial"/>
          <w:szCs w:val="24"/>
        </w:rPr>
        <w:t xml:space="preserve"> – wniosek o powierzenie Grantu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Projekt</w:t>
      </w:r>
      <w:r>
        <w:rPr>
          <w:rFonts w:cs="Arial"/>
          <w:szCs w:val="24"/>
        </w:rPr>
        <w:t xml:space="preserve"> – projekt grantowy „…….” </w:t>
      </w:r>
      <w:r>
        <w:rPr>
          <w:rFonts w:cs="Arial"/>
          <w:i/>
          <w:iCs/>
          <w:szCs w:val="24"/>
        </w:rPr>
        <w:t>(numer i tytuł projektu),</w:t>
      </w:r>
      <w:r>
        <w:rPr>
          <w:rFonts w:cs="Arial"/>
          <w:szCs w:val="24"/>
        </w:rPr>
        <w:t xml:space="preserve"> </w:t>
      </w:r>
      <w:r>
        <w:rPr>
          <w:szCs w:val="24"/>
        </w:rPr>
        <w:t xml:space="preserve"> współfinansowany </w:t>
      </w:r>
      <w:r>
        <w:rPr>
          <w:rFonts w:cs="Arial"/>
          <w:szCs w:val="24"/>
        </w:rPr>
        <w:t>w ramach Europejskiego Funduszu Społecznego Plus, Priorytet 7 – Fundusze Europejskie na rozwój lokalny kierowany przez społeczność, Działanie</w:t>
      </w:r>
      <w:r>
        <w:rPr>
          <w:rFonts w:cs="Arial"/>
          <w:b/>
          <w:szCs w:val="24"/>
        </w:rPr>
        <w:t xml:space="preserve"> FELB.07.01</w:t>
      </w:r>
      <w:r>
        <w:rPr>
          <w:b/>
          <w:szCs w:val="24"/>
        </w:rPr>
        <w:t xml:space="preserve"> </w:t>
      </w:r>
      <w:r>
        <w:rPr>
          <w:rFonts w:cs="Arial"/>
          <w:b/>
          <w:szCs w:val="24"/>
        </w:rPr>
        <w:t>Aktywizacja społeczności lokalnej w placówkach edukacyjnych</w:t>
      </w:r>
      <w:r>
        <w:rPr>
          <w:rFonts w:cs="Arial"/>
          <w:szCs w:val="24"/>
        </w:rPr>
        <w:t xml:space="preserve"> Regionalnego Programu Fundusze Europejskie dla Lubuskiego 2021-2027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Projekt objęty grantem</w:t>
      </w:r>
      <w:r>
        <w:rPr>
          <w:rFonts w:cs="Arial"/>
          <w:szCs w:val="24"/>
        </w:rPr>
        <w:t xml:space="preserve"> – projekt realizowany w ramach projektu grantowego, na który Grantobiorca otrzymuje grant (środki finansowe) od Grantodawcy, wyłoniony w procedurze naboru grantów zmierzający do osiągnięcia założonego celu projektu grantowego określonego wskaźnikami, z określonym początkiem i końcem realizacji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LSR </w:t>
      </w:r>
      <w:r>
        <w:rPr>
          <w:rFonts w:cs="Arial"/>
          <w:bCs/>
          <w:szCs w:val="24"/>
        </w:rPr>
        <w:t>–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Cs/>
          <w:szCs w:val="24"/>
        </w:rPr>
        <w:t>Lokalna Strategia Rozwoju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LGD BD/LGD</w:t>
      </w:r>
      <w:r>
        <w:rPr>
          <w:rFonts w:cs="Arial"/>
          <w:szCs w:val="24"/>
        </w:rPr>
        <w:t xml:space="preserve"> – Lokalna Grupa Działania Bory Dolnośląskie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IZ</w:t>
      </w:r>
      <w:r>
        <w:rPr>
          <w:rFonts w:cs="Arial"/>
          <w:szCs w:val="24"/>
        </w:rPr>
        <w:t xml:space="preserve"> – Instytucja Zarządzająca, tj. Zarząd Województwa Lubuskiego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Procedura </w:t>
      </w:r>
      <w:r>
        <w:rPr>
          <w:rFonts w:cs="Arial"/>
          <w:szCs w:val="24"/>
        </w:rPr>
        <w:t xml:space="preserve">- </w:t>
      </w:r>
      <w:r>
        <w:rPr>
          <w:szCs w:val="24"/>
        </w:rPr>
        <w:t>Procedury wyboru i oceny grantobiorców w ramach projektów grantowych wraz z opisem sposobu rozliczania grantów, monitorowania i kontroli, tj. Projektu objętego grantem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EFS + </w:t>
      </w:r>
      <w:r>
        <w:rPr>
          <w:rFonts w:cs="Arial"/>
          <w:szCs w:val="24"/>
        </w:rPr>
        <w:t>– Europejski Fundusz Społeczny Plus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Umowa </w:t>
      </w:r>
      <w:r>
        <w:rPr>
          <w:rFonts w:cs="Arial"/>
          <w:szCs w:val="24"/>
        </w:rPr>
        <w:t xml:space="preserve">- </w:t>
      </w:r>
      <w:r>
        <w:rPr>
          <w:szCs w:val="24"/>
        </w:rPr>
        <w:t>Umowa o powierzenie Grantu na realizację projektu objętego grantem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Regulamin </w:t>
      </w:r>
      <w:r>
        <w:rPr>
          <w:rFonts w:cs="Arial"/>
          <w:szCs w:val="24"/>
        </w:rPr>
        <w:t xml:space="preserve">- </w:t>
      </w:r>
      <w:r>
        <w:rPr>
          <w:szCs w:val="24"/>
        </w:rPr>
        <w:t xml:space="preserve">Regulamin naboru wniosków i zasad realizacji projektu grantowego, tj. </w:t>
        <w:tab/>
        <w:t xml:space="preserve">Projektu objętego grantem  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Rada </w:t>
      </w:r>
      <w:r>
        <w:rPr>
          <w:rFonts w:cs="Arial"/>
          <w:szCs w:val="24"/>
        </w:rPr>
        <w:t>– Rada Stowarzyszenia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szCs w:val="24"/>
        </w:rPr>
      </w:pPr>
      <w:r>
        <w:rPr>
          <w:rFonts w:cs="Arial"/>
          <w:b/>
          <w:szCs w:val="24"/>
        </w:rPr>
        <w:t>Regulamin Rady</w:t>
      </w:r>
      <w:r>
        <w:rPr>
          <w:rFonts w:cs="Arial"/>
          <w:szCs w:val="24"/>
        </w:rPr>
        <w:t xml:space="preserve"> – Regulamin Rady Stowarzyszenia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szCs w:val="24"/>
        </w:rPr>
      </w:pPr>
      <w:r>
        <w:rPr>
          <w:b/>
          <w:bCs/>
          <w:szCs w:val="24"/>
        </w:rPr>
        <w:t>System IT LGD</w:t>
      </w:r>
      <w:r>
        <w:rPr>
          <w:szCs w:val="24"/>
        </w:rPr>
        <w:t xml:space="preserve"> – system teleinformatyczny wspomagający przeprowadzenie konkursu, oceny i wyboru wniosków stosowany w LGD</w:t>
      </w:r>
    </w:p>
    <w:p>
      <w:pPr>
        <w:pStyle w:val="Nagwek1"/>
        <w:jc w:val="left"/>
        <w:rPr/>
      </w:pPr>
      <w:bookmarkStart w:id="3" w:name="_Toc163034552"/>
      <w:r>
        <w:rPr/>
        <w:t>Rozdział IV CEL POWIERZENIA GRANTÓW, ZAKRES ZADAŃ MOŻLIWYCH DO REALIZACJI ORAZ GRUPA DOCELOWA</w:t>
      </w:r>
      <w:bookmarkEnd w:id="3"/>
    </w:p>
    <w:p>
      <w:pPr>
        <w:pStyle w:val="Normal"/>
        <w:jc w:val="left"/>
        <w:rPr/>
      </w:pPr>
      <w:r>
        <w:rPr/>
        <w:t xml:space="preserve">             </w:t>
      </w:r>
      <w:r>
        <w:rPr/>
        <w:t xml:space="preserve">1.  </w:t>
      </w:r>
      <w:r>
        <w:rPr>
          <w:rFonts w:cs="Arial"/>
          <w:szCs w:val="24"/>
        </w:rPr>
        <w:t>Wsparcie będzie przyznawane wyłącznie na realizację grantów.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rFonts w:cs="Arial"/>
          <w:szCs w:val="24"/>
        </w:rPr>
        <w:t xml:space="preserve">2.  Celem powierzenia Grantów jest realizacja projektów grantowych, które przyczynią się do </w:t>
      </w:r>
      <w:r>
        <w:rPr>
          <w:szCs w:val="24"/>
        </w:rPr>
        <w:t>zwiększenia aktywności i partycypacji obywatelskiej w życiu publicznym i społecznym, a także integracja społeczności lokalnych poprzez tworzenie życia kulturalnego na danym obszarze. Istotnym działaniem z perspektywy rozwoju regionu i aktywności mieszkańców jest umożliwienie w szczególności dzieciom i młodzieży, a także dorosłym dostępu do kultury, a także styczności z kulturą jako formą edukacji i aktywizacji życia społeczności. Celem jest wdrażanie interwencji jak najbliżej obywateli z wykorzystaniem dostępnych zasobów lokalnych oraz zniwelowanie dysproporcji w dostępie do kultury spowodowanej wykluczeniem komunikacyjnym oraz poprawa spójności społecznej.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szCs w:val="24"/>
        </w:rPr>
        <w:t>3.  Planowane działania muszą  być zgodne z Programem FEWL 2021-2027, Wytycznymi dotyczącymi realizacji projektów z udziałem Europejskiego Funduszu Społecznego Plus w regionalnych programach na lata 2021-2027 oraz z Lokalną Strategią Rozwoju.</w:t>
      </w:r>
    </w:p>
    <w:p>
      <w:pPr>
        <w:pStyle w:val="ListParagraph"/>
        <w:jc w:val="left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  <w:szCs w:val="24"/>
        </w:rPr>
        <w:t>4.  Projekty objęte grantem muszą by</w:t>
      </w:r>
      <w:r>
        <w:rPr>
          <w:b w:val="false"/>
          <w:bCs w:val="false"/>
          <w:color w:val="000000"/>
          <w:szCs w:val="24"/>
        </w:rPr>
        <w:t xml:space="preserve">ć realizowane na obszarze objętym LSR Stowarzyszenia LGD Bory Dolnośląskie </w:t>
      </w:r>
      <w:r>
        <w:rPr>
          <w:b w:val="false"/>
          <w:bCs w:val="false"/>
          <w:strike w:val="false"/>
          <w:dstrike w:val="false"/>
          <w:color w:val="000000"/>
          <w:szCs w:val="24"/>
        </w:rPr>
        <w:t>( gm. Wymiarki, gm. Małomice, gm. Iłowa, gm. Gozdnica )</w:t>
      </w:r>
      <w:r>
        <w:rPr>
          <w:b w:val="false"/>
          <w:bCs w:val="false"/>
          <w:color w:val="000000"/>
          <w:szCs w:val="24"/>
        </w:rPr>
        <w:t xml:space="preserve">, ewentualnie na obszarze województwa lubuskiego. Realizację działań poza obszarem województwa lubuskiego należy każdorazowo szczegółowo uzasadnić. </w:t>
      </w:r>
    </w:p>
    <w:p>
      <w:pPr>
        <w:pStyle w:val="ListParagraph"/>
        <w:jc w:val="left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b w:val="false"/>
          <w:bCs w:val="false"/>
          <w:szCs w:val="24"/>
        </w:rPr>
        <w:t>5. Grupę docelow</w:t>
      </w:r>
      <w:r>
        <w:rPr>
          <w:b w:val="false"/>
          <w:bCs w:val="false"/>
          <w:color w:val="000000"/>
          <w:szCs w:val="24"/>
        </w:rPr>
        <w:t xml:space="preserve">ą stanowić będą dzieci w wieku wczesnoszkolnym z klas I-III ( dzieci  w wieku 7-10 lat oraz ich rodzice ) z </w:t>
      </w:r>
      <w:r>
        <w:rPr>
          <w:b w:val="false"/>
          <w:bCs w:val="false"/>
          <w:strike w:val="false"/>
          <w:dstrike w:val="false"/>
          <w:color w:val="000000"/>
          <w:szCs w:val="24"/>
        </w:rPr>
        <w:t>gm. Wymiarki, Małomice, Iłowa i Gozdnica.</w:t>
      </w:r>
    </w:p>
    <w:p>
      <w:pPr>
        <w:pStyle w:val="Akapitzlist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rFonts w:cs="Arial"/>
          <w:color w:val="000000"/>
          <w:szCs w:val="24"/>
        </w:rPr>
        <w:t>6. Grantobiorca nie może być jednocześnie uczestnikiem projektu.</w:t>
      </w:r>
    </w:p>
    <w:p>
      <w:pPr>
        <w:pStyle w:val="Nagwek1"/>
        <w:jc w:val="left"/>
        <w:rPr/>
      </w:pPr>
      <w:bookmarkStart w:id="4" w:name="_Toc163034553"/>
      <w:r>
        <w:rPr/>
        <w:t>Rozdział V PODMIOTY UPRAWNIONE DO UBIEGANIA SIĘ O GRANT</w:t>
      </w:r>
      <w:bookmarkEnd w:id="4"/>
    </w:p>
    <w:p>
      <w:pPr>
        <w:pStyle w:val="Normal"/>
        <w:widowControl w:val="false"/>
        <w:spacing w:before="0" w:after="0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Podmiotami uprawnionymi do złożenia Wniosku i realizacji projektu objętego grantem</w:t>
      </w:r>
      <w:r>
        <w:rPr>
          <w:rFonts w:cs="Arial"/>
          <w:szCs w:val="24"/>
        </w:rPr>
        <w:t>, zgodnie z LSR są: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jednostki samorządu</w:t>
      </w:r>
      <w:r>
        <w:rPr>
          <w:rFonts w:cs="Arial"/>
          <w:color w:val="000000"/>
          <w:szCs w:val="24"/>
        </w:rPr>
        <w:t xml:space="preserve"> terytorialnego (JST), ich związki oraz stowarzyszenia, organizacje non profit,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jednostki organizacyjne JS</w:t>
      </w:r>
      <w:r>
        <w:rPr>
          <w:rFonts w:cs="Arial"/>
          <w:b w:val="false"/>
          <w:bCs w:val="false"/>
          <w:color w:val="000000"/>
          <w:szCs w:val="24"/>
        </w:rPr>
        <w:t>T posiadające osobowość prawną a w przypadku braku osobowości prawnej, Wnioskodawcą jest JST/jednostka z pełnomocnictwem do podpisania umowy,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organizacje pozarządowe,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przedsiębiorstwa (MŚP) i ich związki i stowarzyszenia w tym osoby fizyczne prowadzące działalność gospodarczą,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szkoły, przedszkola i placówki (w rozumieniu ustawy o systemie oświaty) i ich organy prowadzące,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osoby fizyczne prowadzące działalność oświatową na podstawie odrębnych przepisów,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uczelnie wyższe i ich spółki,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podmioty ekonomii społecznej.</w:t>
      </w:r>
    </w:p>
    <w:p>
      <w:pPr>
        <w:pStyle w:val="Normal"/>
        <w:widowControl w:val="false"/>
        <w:spacing w:before="0" w:after="0"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before="0" w:after="0"/>
        <w:jc w:val="left"/>
        <w:rPr>
          <w:b/>
          <w:b/>
          <w:bCs/>
          <w:szCs w:val="24"/>
        </w:rPr>
      </w:pPr>
      <w:r>
        <w:rPr>
          <w:b/>
          <w:bCs/>
          <w:szCs w:val="24"/>
        </w:rPr>
        <w:t>Grantu nie mogą otrzymać podmioty: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na których ciąży obowiązek zwrotu pomocy wynikający z decyzji KE uznającej pomoc za niezgodną z prawem oraz ze wspólnym rynkiem w rozumieniu art. 107 TFUE (dotyczy projektów objętych pomocą państwa, dla których warunek został uwzględniony w programie pomocowym);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karane na podstawie art. 9 ust. 1 pkt 2a ustawy z dnia 28 października 2002 r. o odpowiedzialności podmiotów zbiorowych za czyny zabronione pod groźbą kary;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ws. wpisu na listę osób i podmiotów, wobec których stosowane są środki, o których mowa w ustawie o szczególnych rozwiązaniach w zakresie przeciwdziałania wspieraniu agresji na Ukrainę oraz służących ochronie bezpieczeństwa narodowego. </w:t>
      </w:r>
    </w:p>
    <w:p>
      <w:pPr>
        <w:pStyle w:val="Normal"/>
        <w:widowControl w:val="false"/>
        <w:spacing w:lineRule="auto" w:line="240" w:before="0" w:after="0"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agwek1"/>
        <w:jc w:val="left"/>
        <w:rPr/>
      </w:pPr>
      <w:bookmarkStart w:id="5" w:name="_Toc163034554"/>
      <w:r>
        <w:rPr/>
        <w:t>Rozdział VI ZAKRESY WSPARCIA NA WDRAŻANIE LSR, KTÓRYCH DOTYCZY NABÓR WNIOSKÓW</w:t>
      </w:r>
      <w:bookmarkEnd w:id="5"/>
    </w:p>
    <w:p>
      <w:pPr>
        <w:pStyle w:val="Normal"/>
        <w:jc w:val="left"/>
        <w:rPr>
          <w:szCs w:val="24"/>
        </w:rPr>
      </w:pPr>
      <w:r>
        <w:rPr>
          <w:szCs w:val="24"/>
        </w:rPr>
        <w:t>Główne działania planowane do realizacji powinny polegać na aktywizacji społeczność na terenach wiejskich zgodnego z LSR LGD BD na bazie placówek edukacyjnych.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Obszarami, które umożliwiają takie działania są szeroko pojęta kultura czy edukacja. Projekt objęty grantem może być realizowany np. poprzez organizacje różnego rodzaju warsztatów, tworzeniu kółek zainteresowań, grup teatralnych, terapii artystyczno – zajęciowych, wystaw, zapewnienie styczności z kulturą poprzez wyjazdy do filharmonii, teatru itd.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Na obszarach wiejskich ośrodkami kultury stają się świetlice wiejskie, biblioteki, a także szkoły i przedszkola. W ramach realizacji projektu objętego grantem Wnioskodawca powinien zapewnić np.:</w:t>
      </w:r>
    </w:p>
    <w:p>
      <w:pPr>
        <w:pStyle w:val="ListParagraph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Działania wspierające dzieci, młodzieży i rodzin w zakresie integralnego rozwoju fizycznego, psychicznego, emocjonalnego i społecznego oraz rozwoju więzi (np. dramy, metody inscenizacji wyjazdy do teatru lub zapraszanie teatru do lokalnej społeczności itp.);</w:t>
      </w:r>
    </w:p>
    <w:p>
      <w:pPr>
        <w:pStyle w:val="ListParagraph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Wsparcie w rozwijaniu kompetencji, umiejętności, uzdolnień oraz zainteresowań uczniów poza edukacja formalną (kółka zainteresowań, warsztaty teatralne, malarstwo, rzeźba, kółka fotograficzne zakończone np. wystawą prac udostępnioną społeczności lokalnej itp.);</w:t>
      </w:r>
    </w:p>
    <w:p>
      <w:pPr>
        <w:pStyle w:val="ListParagraph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Zajęcia kulturalne jako formę edukacji i aktywizacji lokalnej społeczności.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Wszelkie działania powinny mieć charakter zindywidualizowany, dostosowany do zainteresowań i potrzeb lokalnej społeczności.</w:t>
      </w:r>
    </w:p>
    <w:p>
      <w:pPr>
        <w:pStyle w:val="Nagwek1"/>
        <w:jc w:val="left"/>
        <w:rPr/>
      </w:pPr>
      <w:bookmarkStart w:id="6" w:name="_Toc163034555"/>
      <w:r>
        <w:rPr/>
        <w:t>Rozdział VII ALOKACJA, SPOSÓB SZACOWANIA GRANTU I FORMA FINANSOWANIA</w:t>
      </w:r>
      <w:bookmarkEnd w:id="6"/>
    </w:p>
    <w:p>
      <w:pPr>
        <w:pStyle w:val="Nagwek2"/>
        <w:jc w:val="left"/>
        <w:rPr/>
      </w:pPr>
      <w:bookmarkStart w:id="7" w:name="_Toc163034556"/>
      <w:r>
        <w:rPr/>
        <w:t>1. Limity środków przeznaczonych na udzielenie wsparcia w ramach projektu grantoweg</w:t>
      </w:r>
      <w:bookmarkEnd w:id="7"/>
      <w:r>
        <w:rPr/>
        <w:t>o: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a) gm. Wymiarki:</w:t>
      </w:r>
    </w:p>
    <w:tbl>
      <w:tblPr>
        <w:tblStyle w:val="Tabela-Siatka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Kwota przeznaczona na dofinansowanie projektów w naborze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152 985,60zł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2 549,76zł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ormal"/>
        <w:spacing w:before="120" w:after="200"/>
        <w:jc w:val="left"/>
        <w:rPr>
          <w:b/>
          <w:b/>
          <w:bCs/>
        </w:rPr>
      </w:pPr>
      <w:r>
        <w:rPr>
          <w:b/>
          <w:bCs/>
        </w:rPr>
        <w:t>b) gm. Małomice:</w:t>
      </w:r>
    </w:p>
    <w:tbl>
      <w:tblPr>
        <w:tblStyle w:val="Tabela-Siatka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 xml:space="preserve">Kwota przeznaczona na dofinansowanie projektów w naborze 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152 985,60zł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2 549,76zł</w:t>
            </w:r>
          </w:p>
        </w:tc>
      </w:tr>
    </w:tbl>
    <w:p>
      <w:pPr>
        <w:pStyle w:val="Normal"/>
        <w:spacing w:before="120" w:after="20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*Wartość projektu objętego grantem = dofinansowanie + wkład własny</w:t>
      </w:r>
    </w:p>
    <w:p>
      <w:pPr>
        <w:pStyle w:val="Normal"/>
        <w:jc w:val="left"/>
        <w:rPr/>
      </w:pPr>
      <w:r>
        <w:rPr>
          <w:b/>
          <w:bCs/>
        </w:rPr>
        <w:t>c) gm. Iłowa:</w:t>
      </w:r>
    </w:p>
    <w:tbl>
      <w:tblPr>
        <w:tblStyle w:val="Tabela-Siatka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 xml:space="preserve">Kwota przeznaczona na dofinansowanie projektów w naborze 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152 985,60zł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2 549,76zł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r>
        <w:rPr/>
        <w:t>d) gm. Gozdnica:</w:t>
      </w:r>
    </w:p>
    <w:tbl>
      <w:tblPr>
        <w:tblStyle w:val="Tabela-Siatka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 xml:space="preserve">Kwota przeznaczona na dofinansowanie projektów w naborze 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147 886,80zł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95 %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5 %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2 549,77zł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bookmarkStart w:id="8" w:name="_Toc163034557"/>
      <w:r>
        <w:rPr/>
        <w:t>2. Sposób szacowania wysokości grantów</w:t>
      </w:r>
      <w:bookmarkEnd w:id="8"/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  <w:u w:val="single"/>
        </w:rPr>
        <w:t>Wysokość grantu wynosić będzie</w:t>
      </w:r>
      <w:r>
        <w:rPr>
          <w:rFonts w:cs="Arial"/>
          <w:szCs w:val="24"/>
        </w:rPr>
        <w:t>: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Wysokość grantu uzależniona będzie od liczby osób objętych wsparciem w ramach danego grantu. 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Wyliczenie wysokości grantu: Iloczyn kosztu….. </w:t>
      </w:r>
      <w:r>
        <w:rPr>
          <w:rFonts w:cs="Arial"/>
          <w:i/>
          <w:iCs/>
          <w:szCs w:val="24"/>
        </w:rPr>
        <w:t>(należy podać koszt przypadający na jednego uczestnika)</w:t>
      </w:r>
      <w:r>
        <w:rPr>
          <w:rFonts w:cs="Arial"/>
          <w:szCs w:val="24"/>
        </w:rPr>
        <w:t xml:space="preserve"> w przeliczeniu na jednego uczestnika projektu.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WZÓR wyliczenia wysokość grantu = K</w:t>
      </w:r>
      <w:r>
        <w:rPr>
          <w:rFonts w:cs="Arial"/>
          <w:b/>
          <w:szCs w:val="24"/>
          <w:vertAlign w:val="subscript"/>
        </w:rPr>
        <w:t xml:space="preserve">j </w:t>
      </w:r>
      <w:r>
        <w:rPr>
          <w:rFonts w:cs="Arial"/>
          <w:b/>
          <w:szCs w:val="24"/>
        </w:rPr>
        <w:t>x L</w:t>
      </w:r>
      <w:r>
        <w:rPr>
          <w:rFonts w:cs="Arial"/>
          <w:b/>
          <w:szCs w:val="24"/>
          <w:vertAlign w:val="subscript"/>
        </w:rPr>
        <w:t>up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Gdzie:.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K</w:t>
      </w:r>
      <w:r>
        <w:rPr>
          <w:rFonts w:cs="Arial"/>
          <w:szCs w:val="24"/>
          <w:vertAlign w:val="subscript"/>
        </w:rPr>
        <w:t xml:space="preserve">j </w:t>
      </w:r>
      <w:r>
        <w:rPr>
          <w:rFonts w:cs="Arial"/>
          <w:szCs w:val="24"/>
        </w:rPr>
        <w:t>–koszt jednostokowy przypadający na jednego uczestnika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L</w:t>
      </w:r>
      <w:r>
        <w:rPr>
          <w:rFonts w:cs="Arial"/>
          <w:szCs w:val="24"/>
          <w:vertAlign w:val="subscript"/>
        </w:rPr>
        <w:t>up</w:t>
      </w:r>
      <w:r>
        <w:rPr>
          <w:rFonts w:cs="Arial"/>
          <w:szCs w:val="24"/>
        </w:rPr>
        <w:t xml:space="preserve"> – liczba uczestników projektu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Grant udzielany jest od dnia zawarcia Umowy o powierzenie Grantu do maksymalnie  31.10.2025r. Okres kwalifikowalności wydatków liczony jest od podpisania umowy o udzielnie grantu.</w:t>
      </w:r>
    </w:p>
    <w:p>
      <w:pPr>
        <w:pStyle w:val="Nagwek2"/>
        <w:jc w:val="left"/>
        <w:rPr/>
      </w:pPr>
      <w:bookmarkStart w:id="9" w:name="_Toc163034558"/>
      <w:r>
        <w:rPr/>
        <w:t>3. Forma wsparcia</w:t>
      </w:r>
      <w:bookmarkEnd w:id="9"/>
    </w:p>
    <w:p>
      <w:pPr>
        <w:pStyle w:val="ListParagraph"/>
        <w:numPr>
          <w:ilvl w:val="0"/>
          <w:numId w:val="6"/>
        </w:numPr>
        <w:ind w:left="851" w:hanging="425"/>
        <w:jc w:val="left"/>
        <w:rPr>
          <w:color w:val="FF0000"/>
        </w:rPr>
      </w:pPr>
      <w:r>
        <w:rPr/>
        <w:t>Grant będzie wypłacany w formie zaliczki grantu/</w:t>
      </w:r>
      <w:r>
        <w:rPr>
          <w:strike/>
        </w:rPr>
        <w:t>refundacji rzeczywiście poniesionych kosztów kwalifikowanych</w:t>
      </w:r>
      <w:r>
        <w:rPr>
          <w:rStyle w:val="Zakotwiczenieprzypisudolnego"/>
          <w:strike/>
        </w:rPr>
        <w:footnoteReference w:id="2"/>
      </w:r>
      <w:r>
        <w:rPr/>
        <w:t xml:space="preserve">. Zaliczka będzie wypłacona Grantobiorcy w wysokości nie większej i na okres nie dłuższy niż jest to niezbędne dla prawidłowej realizacji projektu objętego grantem. Maksymalna kwota udzielonej zaliczki nie może przekroczyć </w:t>
      </w:r>
      <w:r>
        <w:rPr>
          <w:strike w:val="false"/>
          <w:dstrike w:val="false"/>
        </w:rPr>
        <w:t xml:space="preserve">95% </w:t>
      </w:r>
      <w:r>
        <w:rPr/>
        <w:t xml:space="preserve"> grantu. Kwota zaliczki zostanie wskazana w umowie (załącznik nr 6 do Procedury wyboru i oceny grantobiorców w ramach projektów grantowych wraz z opisem sposobu rozliczania grantów, monitorowania i kontroli, współfinansowanego w ramach Europejskiego Funduszu Społecznego Plus Fundusze Europejskie dla Lubuskiego 2021-2027).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Grant wypłacany jest na wyodrębniony nieoprocentowany rachunek bankowy wskazany przez Grantobiorcę w Umowie o powierzenie Grantu, pod warunkiem dostępności środków na rachunku bankowym prowadzonym przez Grantodawcę.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Termin wypłaty Grantu określają warunki Umowy o powierzenie Grantu.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Grantodawca zastrzega sobie prawo do niewypłacenia zaliczki</w:t>
      </w:r>
      <w:r>
        <w:rPr>
          <w:strike/>
        </w:rPr>
        <w:t>/refundacji rzeczywiście poniesionych kosztów kwalifikowanych</w:t>
      </w:r>
      <w:r>
        <w:rPr>
          <w:rStyle w:val="Zakotwiczenieprzypisudolnego"/>
          <w:strike/>
        </w:rPr>
        <w:footnoteReference w:id="3"/>
      </w:r>
      <w:r>
        <w:rPr/>
        <w:t xml:space="preserve">  w ustalonym terminie, pomimo spełnienia przez Grantobiorcę wszystkich warunków w sytuacji, gdy nie otrzyma w terminie płatności od IZ.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Grantobiorcy będą zobowiązani do sprawozdawczości. Rozliczenie środków następuje zgodnie z zapisami Umowy o powierzenie Grantu, stanowiącej załącznik nr</w:t>
      </w:r>
      <w:r>
        <w:rPr>
          <w:b/>
        </w:rPr>
        <w:t xml:space="preserve"> </w:t>
      </w:r>
      <w:r>
        <w:rPr/>
        <w:t>6 do Procedury wyboru i oceny grantobiorców w ramach projektów grantowych wraz z opisem sposobu rozliczania grantów, monitorowania i kontroli, współfinansowanego w ramach Europejskiego Funduszu Społecznego Plus Fundusze Europejskie dla Lubuskiego 2021-2027</w:t>
      </w:r>
      <w:r>
        <w:rPr>
          <w:color w:val="FF0000"/>
        </w:rPr>
        <w:t xml:space="preserve"> </w:t>
      </w:r>
      <w:r>
        <w:rPr/>
        <w:t>do niniejszego Regulaminu.</w:t>
      </w:r>
    </w:p>
    <w:p>
      <w:pPr>
        <w:pStyle w:val="Normal"/>
        <w:jc w:val="left"/>
        <w:rPr>
          <w:b/>
          <w:b/>
        </w:rPr>
      </w:pPr>
      <w:r>
        <w:rPr>
          <w:b/>
        </w:rPr>
        <w:t>4. Zasady wypłacania grantów</w:t>
      </w:r>
    </w:p>
    <w:p>
      <w:pPr>
        <w:pStyle w:val="Normal"/>
        <w:spacing w:before="0" w:after="0"/>
        <w:rPr/>
      </w:pPr>
      <w:r>
        <w:rPr/>
        <w:t>Grantodawca może podjąć decyzję o zawieszeniu zaliczki/płatności końcowej/</w:t>
      </w:r>
      <w:r>
        <w:rPr>
          <w:strike/>
        </w:rPr>
        <w:t>refundacji rzeczywiście poniesionych kosztów  kwalifikowanyc</w:t>
      </w:r>
      <w:r>
        <w:rPr/>
        <w:t>h</w:t>
      </w:r>
      <w:r>
        <w:rPr>
          <w:rStyle w:val="Zakotwiczenieprzypisudolnego"/>
        </w:rPr>
        <w:footnoteReference w:id="4"/>
      </w:r>
      <w:r>
        <w:rPr/>
        <w:t xml:space="preserve">  w przypadku, kiedy: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 xml:space="preserve">Grantobiorca odmówi poddania się kontroli i działaniom monitoringowym; </w:t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 xml:space="preserve">Grantobiorca nie złoży w terminie sprawozdania z realizacji grantu; </w:t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>Grantodawca podejmie uzasadnione podejrzenia, że Grantobiorca wprowadził go  w błąd, co do stopnia realizacji grantu;</w:t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>Grantodawca poweźmie informację o złamaniu prawa przez Grantobiorcę lub wykorzystaniu przekazanych środków finansowych niezgodnie z zapisami Umowy o powierzenie grantu.</w:t>
      </w:r>
    </w:p>
    <w:p>
      <w:pPr>
        <w:pStyle w:val="Nagwek1"/>
        <w:jc w:val="left"/>
        <w:rPr/>
      </w:pPr>
      <w:bookmarkStart w:id="10" w:name="_Toc163034559"/>
      <w:r>
        <w:rPr/>
        <w:t>Rozdział VIII WARUNKI UDZIELENIA WSPARCIA NA REALIZACJĘ PROJEKTU OBJĘTEGO GRANTEM</w:t>
      </w:r>
      <w:bookmarkEnd w:id="10"/>
    </w:p>
    <w:p>
      <w:pPr>
        <w:pStyle w:val="Normal"/>
        <w:jc w:val="left"/>
        <w:rPr>
          <w:b/>
          <w:b/>
          <w:szCs w:val="24"/>
        </w:rPr>
      </w:pPr>
      <w:r>
        <w:rPr>
          <w:szCs w:val="24"/>
        </w:rPr>
        <w:t>1. Spełnienie wymogów weryfikacji wstępnej, zgodnie z załącznikiem nr 3</w:t>
      </w:r>
      <w:r>
        <w:rPr>
          <w:b/>
          <w:szCs w:val="24"/>
        </w:rPr>
        <w:t xml:space="preserve"> </w:t>
      </w:r>
      <w:r>
        <w:rPr/>
        <w:t>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2. Realizacja operacji przyczyni się do realizacji celu grantowego określonego w LSR poprzez osiąganie wskaźników zaplanowanych dla danego zakresu wsparcia, o których mowa w Rozdziale XI niniejszego Regulaminu.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3. Złożenie wszystkich wymaganych dokumentów potwierdzaj</w:t>
      </w:r>
      <w:r>
        <w:rPr>
          <w:sz w:val="24"/>
          <w:szCs w:val="24"/>
        </w:rPr>
        <w:t>ących spełnienie warunków udzielania wsparcia oraz kryteriów wyboru operacji, w terminie składania wniosków w Biurze Stowarzyszenia bezpośrednio, tj. osobiście albo przez pełnomocnika albo przez osobę uprawnioną do reprezentacji.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4. O pomoc mogą ubiegać się podmioty, o których mowa w Rozdziale V niniejszego Regulaminu.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5. Wnioskodawca w ramach danego naboru wniosków może złożyć tylko jeden wniosek.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 xml:space="preserve">6. Wnioskodawca może jednym wnioskiem objąć wszystkie zadania. </w:t>
      </w:r>
    </w:p>
    <w:p>
      <w:pPr>
        <w:pStyle w:val="Normal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>7. Uzyskanie wymaganego minimum punktowego w ramach oceny według Lokalnych Kryteriów Wyboru, które znajdują się w Szczegółowym opisie kryteriów wyboru projektów grantowych realizowanych ze środków EFS+, który stanowi załącznik nr 2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 w:cstheme="minorBidi"/>
          <w:b w:val="false"/>
          <w:bCs w:val="false"/>
          <w:color w:val="000000"/>
          <w:sz w:val="24"/>
          <w:szCs w:val="24"/>
          <w:lang w:eastAsia="pl-PL"/>
        </w:rPr>
        <w:t>8. Wnioskodawca zapewni, że w ramach realizacji projektu objętego grantem wsparcie kierowane będzie w pierwszej kolejności do grup (uczestników projektu) znajdujących się w niekorzystnej sytuacji tj. grupa osób doświadczających ubóstwa, wykluczenia społecznego lub dyskryminacji w wielu wymiarach lub zagrożona tymi zjawiskami.</w:t>
      </w:r>
    </w:p>
    <w:p>
      <w:pPr>
        <w:pStyle w:val="Default"/>
        <w:spacing w:lineRule="auto" w:line="276"/>
        <w:rPr>
          <w:rFonts w:ascii="Arial Narrow" w:hAnsi="Arial Narrow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 Narrow" w:hAnsi="Arial Narrow"/>
          <w:b w:val="false"/>
          <w:bCs w:val="false"/>
          <w:color w:val="000000"/>
          <w:sz w:val="24"/>
          <w:szCs w:val="24"/>
        </w:rPr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 w:cstheme="minorBidi"/>
          <w:b w:val="false"/>
          <w:bCs w:val="false"/>
          <w:color w:val="000000"/>
          <w:sz w:val="24"/>
          <w:szCs w:val="24"/>
          <w:lang w:eastAsia="pl-PL"/>
        </w:rPr>
        <w:t>9. W</w:t>
      </w:r>
      <w:r>
        <w:rPr>
          <w:rFonts w:cs="" w:ascii="Arial Narrow" w:hAnsi="Arial Narrow"/>
          <w:b w:val="false"/>
          <w:bCs w:val="false"/>
          <w:color w:val="000000"/>
          <w:sz w:val="24"/>
          <w:szCs w:val="24"/>
          <w:lang w:eastAsia="pl-PL"/>
        </w:rPr>
        <w:t>nioskodawca  zapewnia, że aktywizacja kulturalna społeczności lokalnych odbywać się będzie z wykorzystaniem placówek edukacyjnych.</w:t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/>
          <w:b w:val="false"/>
          <w:bCs w:val="false"/>
          <w:color w:val="000000"/>
          <w:sz w:val="24"/>
          <w:szCs w:val="24"/>
          <w:lang w:eastAsia="pl-PL"/>
        </w:rPr>
        <w:t>10.</w:t>
      </w:r>
      <w:r>
        <w:rPr>
          <w:rFonts w:cs="" w:ascii="Arial Narrow" w:hAnsi="Arial Narrow" w:cstheme="minorBidi"/>
          <w:b w:val="false"/>
          <w:bCs w:val="false"/>
          <w:i w:val="false"/>
          <w:caps w:val="false"/>
          <w:smallCaps w:val="false"/>
          <w:color w:val="2C363A"/>
          <w:spacing w:val="0"/>
          <w:sz w:val="24"/>
          <w:szCs w:val="24"/>
          <w:lang w:eastAsia="pl-PL"/>
        </w:rPr>
        <w:t>Wnioskodawca zapewni, że część wsparcia dotyczyć będzie działań służącym nabyciu przez uczniów kwalifikacji, kompetencji kluczowych, społecznych lub społeczno-emocjonalnych lub umiejętności / kompetencji podstawowych, przekrojowych lub zawodowych</w:t>
      </w:r>
      <w:r>
        <w:rPr>
          <w:rFonts w:cs="" w:ascii="Arial Narrow" w:hAnsi="Arial Narrow" w:cstheme="minorBid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l-PL"/>
        </w:rPr>
        <w:t>.</w:t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 w:cstheme="minorBidi"/>
          <w:b w:val="false"/>
          <w:bCs w:val="false"/>
          <w:color w:val="000000"/>
          <w:sz w:val="24"/>
          <w:szCs w:val="24"/>
          <w:lang w:eastAsia="pl-PL"/>
        </w:rPr>
        <w:t>.</w:t>
      </w:r>
    </w:p>
    <w:p>
      <w:pPr>
        <w:pStyle w:val="Nagwek1"/>
        <w:jc w:val="left"/>
        <w:rPr/>
      </w:pPr>
      <w:bookmarkStart w:id="11" w:name="_Toc163034560"/>
      <w:r>
        <w:rPr/>
        <w:t>Rozdział IX WYBÓR, OCENA, SPOSÓB ROZLICZANIA GRANTÓW</w:t>
      </w:r>
      <w:bookmarkEnd w:id="11"/>
    </w:p>
    <w:p>
      <w:pPr>
        <w:pStyle w:val="ListParagraph"/>
        <w:numPr>
          <w:ilvl w:val="0"/>
          <w:numId w:val="8"/>
        </w:numPr>
        <w:spacing w:before="120" w:after="200"/>
        <w:contextualSpacing/>
        <w:jc w:val="left"/>
        <w:rPr>
          <w:rFonts w:eastAsia="Arial Narrow"/>
          <w:b/>
          <w:b/>
        </w:rPr>
      </w:pPr>
      <w:r>
        <w:rPr/>
        <w:t>Procedura udzielania wsparcia</w:t>
      </w:r>
      <w:r>
        <w:rPr>
          <w:b/>
        </w:rPr>
        <w:t xml:space="preserve"> </w:t>
      </w:r>
      <w:r>
        <w:rPr/>
        <w:t>na wdrażanie LSR w ramach EFS+</w:t>
      </w:r>
      <w:r>
        <w:rPr>
          <w:b/>
        </w:rPr>
        <w:t xml:space="preserve"> </w:t>
      </w:r>
      <w:r>
        <w:rPr/>
        <w:t xml:space="preserve">obejmuje czynności związane z przeprowadzaniem naboru wniosków, oceny i wyboru grantobiorców w ramach Europejskiego Funduszu Społecznego Plus na lata 2021-2027, stanowi ona załącznik nr 1 do niniejszego Regulaminu pn. </w:t>
      </w:r>
      <w:r>
        <w:rPr>
          <w:b/>
        </w:rPr>
        <w:t>Procedury wyboru i oceny grantobiorców w ramach projektów grantowych wraz z opisem sposobu rozliczania grantów, monitorowania i kontroli.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  <w:b/>
          <w:b/>
        </w:rPr>
      </w:pPr>
      <w:r>
        <w:rPr>
          <w:rFonts w:eastAsia="Arial Narrow"/>
          <w:b/>
        </w:rPr>
      </w:r>
    </w:p>
    <w:p>
      <w:pPr>
        <w:pStyle w:val="ListParagraph"/>
        <w:numPr>
          <w:ilvl w:val="0"/>
          <w:numId w:val="8"/>
        </w:numPr>
        <w:spacing w:before="120" w:after="200"/>
        <w:contextualSpacing/>
        <w:jc w:val="left"/>
        <w:rPr>
          <w:rFonts w:eastAsia="Arial Narrow"/>
        </w:rPr>
      </w:pPr>
      <w:r>
        <w:rPr/>
        <w:t>Dla przedsięwzięcia ustalone zostały kryteria wyboru, zawarte w Szczegółowym opisie kryteriów wyboru projektów grantowych realizowanych ze środków EFS+, na podstawie których zostanie dokonana  ocena złożonego wniosku. Mają one charakter jawny i są udostępnione na stronie internetowej LGD. Aby projekt objęty grantem mógł zostać wybrany do finansowania, musi uzyskać minimum punktowe. Szczegółowy opis kryteriów wyboru projektów grantowych realizowanych ze środków EFS+ stanowi załącznik nr 2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Akapitzlist"/>
        <w:numPr>
          <w:ilvl w:val="0"/>
          <w:numId w:val="8"/>
        </w:numPr>
        <w:spacing w:before="120" w:after="200"/>
        <w:contextualSpacing/>
        <w:jc w:val="left"/>
        <w:rPr>
          <w:i w:val="false"/>
          <w:i w:val="false"/>
          <w:iCs w:val="false"/>
        </w:rPr>
      </w:pPr>
      <w:r>
        <w:rPr>
          <w:rFonts w:eastAsia="Arial Narrow"/>
          <w:i w:val="false"/>
          <w:iCs w:val="false"/>
          <w:color w:val="000000" w:themeColor="text1"/>
        </w:rPr>
        <w:t>Ocena wniosków złożonych w trakcie trwania naboru</w:t>
      </w:r>
      <w:r>
        <w:rPr>
          <w:rFonts w:eastAsia="Arial Narrow"/>
          <w:i w:val="false"/>
          <w:iCs w:val="false"/>
          <w:color w:val="000000" w:themeColor="text1"/>
          <w:lang w:val="pl-PL"/>
        </w:rPr>
        <w:t xml:space="preserve"> dokonywana jest przez Radę. </w:t>
      </w:r>
      <w:r>
        <w:rPr>
          <w:i w:val="false"/>
          <w:iCs w:val="false"/>
          <w:color w:val="000000" w:themeColor="text1"/>
        </w:rPr>
        <w:t xml:space="preserve">Sposób pracy Rady określa Regulamin Rady oraz Procedury </w:t>
      </w:r>
      <w:bookmarkStart w:id="12" w:name="_Hlk512333466"/>
      <w:r>
        <w:rPr>
          <w:i w:val="false"/>
          <w:iCs w:val="false"/>
          <w:color w:val="000000" w:themeColor="text1"/>
        </w:rPr>
        <w:t xml:space="preserve">wyboru i oceny grantobiorców w ramach projektów grantowych </w:t>
      </w:r>
      <w:bookmarkEnd w:id="12"/>
      <w:r>
        <w:rPr>
          <w:i w:val="false"/>
          <w:iCs w:val="false"/>
          <w:color w:val="000000" w:themeColor="text1"/>
        </w:rPr>
        <w:t>wraz z opisem sposobu rozliczania grantów, monitorowania i kontroli.</w:t>
      </w:r>
    </w:p>
    <w:p>
      <w:pPr>
        <w:pStyle w:val="ListParagraph"/>
        <w:numPr>
          <w:ilvl w:val="0"/>
          <w:numId w:val="8"/>
        </w:numPr>
        <w:spacing w:before="120" w:after="200"/>
        <w:contextualSpacing/>
        <w:jc w:val="left"/>
        <w:rPr>
          <w:rFonts w:eastAsia="Arial Narrow"/>
          <w:color w:val="FF0000"/>
        </w:rPr>
      </w:pPr>
      <w:r>
        <w:rPr>
          <w:rFonts w:eastAsia="Arial Narrow"/>
        </w:rPr>
        <w:t>Weryfikacja, ocena i wybór projektu objętego grantem oraz ustalenie kwoty wsparcia muszą być dokonane, a dokumenty potwierdzające dokonanie wyboru operacji udostępnione IZ,</w:t>
      </w:r>
      <w:r>
        <w:rPr>
          <w:rFonts w:eastAsia="Arial Narrow"/>
          <w:color w:val="FF0000"/>
        </w:rPr>
        <w:t xml:space="preserve"> </w:t>
      </w:r>
      <w:r>
        <w:rPr>
          <w:rFonts w:eastAsia="Arial Narrow"/>
        </w:rPr>
        <w:t>w terminie 60 dni od dnia następującego po ostatnim dniu terminu składania wniosków o grant.</w:t>
      </w:r>
    </w:p>
    <w:p>
      <w:pPr>
        <w:pStyle w:val="ListParagraph"/>
        <w:ind w:left="720" w:hanging="0"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/>
        <w:t xml:space="preserve">      </w:t>
      </w:r>
      <w:r>
        <w:rPr/>
        <w:t>5.    Grantodawca może jednokrotnie wezwać Grantobiorcę do poprawienia oczywistych omyłek</w:t>
      </w:r>
      <w:r>
        <w:rPr>
          <w:lang w:val="pl-PL"/>
        </w:rPr>
        <w:t xml:space="preserve">,    </w:t>
      </w:r>
      <w:r>
        <w:rPr/>
        <w:t>uzupełnienia bądź wyjaśnienia zapisów mogących budzić wątpliwość w wyznaczonym</w:t>
      </w:r>
      <w:r>
        <w:rPr>
          <w:lang w:val="pl-PL"/>
        </w:rPr>
        <w:t xml:space="preserve"> </w:t>
      </w:r>
      <w:r>
        <w:rPr>
          <w:bCs/>
        </w:rPr>
        <w:t>terminie 7 dni.</w:t>
      </w:r>
      <w:r>
        <w:rPr/>
        <w:t xml:space="preserve"> </w:t>
      </w:r>
      <w:r>
        <w:rPr>
          <w:rFonts w:eastAsia="Courier New" w:cs="Arial"/>
          <w:sz w:val="22"/>
          <w:szCs w:val="22"/>
          <w:lang w:val="pl-PL"/>
        </w:rPr>
        <w:t>Niezłożenie wymaganych uzupełnień lub wyjaśnień/ poprawy w wyznaczonym terminie skutkuje:</w:t>
      </w:r>
    </w:p>
    <w:p>
      <w:pPr>
        <w:pStyle w:val="Akapitzlist"/>
        <w:widowControl w:val="false"/>
        <w:numPr>
          <w:ilvl w:val="1"/>
          <w:numId w:val="8"/>
        </w:numPr>
        <w:suppressAutoHyphens w:val="false"/>
        <w:spacing w:before="0" w:after="0"/>
        <w:ind w:left="741" w:right="0" w:hanging="360"/>
        <w:contextualSpacing w:val="false"/>
        <w:jc w:val="left"/>
        <w:rPr/>
      </w:pPr>
      <w:r>
        <w:rPr>
          <w:rFonts w:eastAsia="Courier New" w:cs="Arial"/>
          <w:sz w:val="22"/>
          <w:szCs w:val="22"/>
          <w:lang w:val="pl-PL"/>
        </w:rPr>
        <w:t xml:space="preserve">weryfikacją wniosku o powierzenie grantu zgodnie z jego pierwotnym brzmieniem; </w:t>
      </w:r>
      <w:r>
        <w:rPr>
          <w:rFonts w:eastAsia="Courier New" w:cs="Arial"/>
          <w:sz w:val="22"/>
          <w:szCs w:val="22"/>
          <w:u w:val="single"/>
          <w:lang w:val="pl-PL"/>
        </w:rPr>
        <w:t>lub</w:t>
      </w:r>
    </w:p>
    <w:p>
      <w:pPr>
        <w:pStyle w:val="ListParagraph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>
          <w:rFonts w:eastAsia="Courier New" w:cs="Arial"/>
          <w:sz w:val="22"/>
          <w:szCs w:val="22"/>
          <w:lang w:val="pl-PL"/>
        </w:rPr>
        <w:t xml:space="preserve">        </w:t>
      </w:r>
      <w:r>
        <w:rPr>
          <w:rFonts w:eastAsia="Courier New" w:cs="Arial"/>
          <w:sz w:val="22"/>
          <w:szCs w:val="22"/>
          <w:lang w:val="pl-PL"/>
        </w:rPr>
        <w:t>b      pozostawieniem wniosku o powierzenie grantu bez rozparzenia</w:t>
      </w:r>
      <w:r>
        <w:rPr>
          <w:lang w:val="pl-PL"/>
        </w:rPr>
        <w:t xml:space="preserve"> </w:t>
      </w:r>
      <w:r>
        <w:rPr/>
        <w:t xml:space="preserve">O </w:t>
      </w:r>
      <w:r>
        <w:rPr>
          <w:lang w:val="pl-PL"/>
        </w:rPr>
        <w:t>pozostawieniu</w:t>
      </w:r>
      <w:r>
        <w:rPr/>
        <w:t xml:space="preserve"> Wniosku bez rozpatrzenia Grantodawca informuje Grantobiorcę poprzez system IT LGD lub drogą elektroniczną na adres e-mail wskazany we Wniosku.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340"/>
        <w:contextualSpacing/>
        <w:jc w:val="left"/>
        <w:rPr>
          <w:rFonts w:eastAsia="Arial Narrow"/>
        </w:rPr>
      </w:pPr>
      <w:r>
        <w:rPr/>
        <w:t xml:space="preserve">6.  Grantodawca, dokonujący weryfikacji </w:t>
      </w:r>
      <w:r>
        <w:rPr>
          <w:lang w:val="pl-PL"/>
        </w:rPr>
        <w:t>W</w:t>
      </w:r>
      <w:r>
        <w:rPr/>
        <w:t>niosku, może dokonać poprawy oczywistych omyłek pisarskich, zawartych we Wniosku, po uzgodnieniu mailowym/telefonicznym z Grantobiorcą lub przy wykorzystaniu systemu IT LGD. Poprawa/uzupełnienie informacji we Wniosku przez Gratodawcę nie może prowadzić do istotnej modyfikacji treści merytorycznej i finansowej Wniosku.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397"/>
        <w:contextualSpacing/>
        <w:jc w:val="left"/>
        <w:rPr>
          <w:rFonts w:eastAsia="Arial Narrow"/>
        </w:rPr>
      </w:pPr>
      <w:r>
        <w:rPr/>
        <w:t xml:space="preserve"> </w:t>
      </w:r>
      <w:r>
        <w:rPr/>
        <w:t>7.  Weryfikacja wstępna wniosku dokonywana jest w oparciu o Kartę weryfikacji wstępnej, która stanowi załącznik nr 3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  <w:highlight w:val="yellow"/>
        </w:rPr>
      </w:pPr>
      <w:r>
        <w:rPr>
          <w:rFonts w:eastAsia="Arial Narrow"/>
          <w:highlight w:val="yellow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rFonts w:eastAsia="Arial Narrow"/>
        </w:rPr>
      </w:pPr>
      <w:r>
        <w:rPr/>
        <w:t>8. Warunkiem zakwalifikowania wniosku do oceny</w:t>
      </w:r>
      <w:r>
        <w:rPr>
          <w:lang w:val="pl-PL"/>
        </w:rPr>
        <w:t xml:space="preserve"> pod kątem </w:t>
      </w:r>
      <w:r>
        <w:rPr/>
        <w:t>zgodności z LSR, jest uzyskanie pozytywnej weryfikacji</w:t>
      </w:r>
      <w:r>
        <w:rPr>
          <w:lang w:val="pl-PL"/>
        </w:rPr>
        <w:t xml:space="preserve"> wstępnej.</w:t>
      </w:r>
      <w:bookmarkStart w:id="13" w:name="_Hlk155958444"/>
    </w:p>
    <w:p>
      <w:pPr>
        <w:pStyle w:val="ListParagraph"/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rFonts w:eastAsia="Arial Narrow"/>
        </w:rPr>
      </w:pPr>
      <w:r>
        <w:rPr/>
        <w:t xml:space="preserve">9.  Ocena zgodności projektu z LSR, dokonywana jest w oparciu o Kartę zgodności z LSR, która stanowi załącznik nr 4 do </w:t>
      </w:r>
      <w:bookmarkEnd w:id="13"/>
      <w:r>
        <w:rPr/>
        <w:t>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  <w:color w:val="000000"/>
        </w:rPr>
      </w:pPr>
      <w:r>
        <w:rPr>
          <w:rFonts w:eastAsia="Arial Narrow"/>
          <w:color w:val="000000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color w:val="000000"/>
        </w:rPr>
      </w:pPr>
      <w:r>
        <w:rPr>
          <w:color w:val="000000"/>
        </w:rPr>
        <w:t>10. Warunkiem zakwalifikowania Wniosku do dalszego etapu oceny projektu ,</w:t>
      </w:r>
      <w:r>
        <w:rPr>
          <w:b/>
          <w:bCs/>
          <w:color w:val="000000"/>
        </w:rPr>
        <w:t xml:space="preserve">wg LKW </w:t>
      </w:r>
      <w:r>
        <w:rPr>
          <w:color w:val="000000"/>
        </w:rPr>
        <w:t xml:space="preserve"> jest uzyskanie pozytywnej oceny zgodności projektu z LSR. </w:t>
      </w:r>
    </w:p>
    <w:p>
      <w:pPr>
        <w:pStyle w:val="ListParagraph"/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rFonts w:eastAsia="Arial Narrow"/>
        </w:rPr>
      </w:pPr>
      <w:r>
        <w:rPr/>
        <w:t xml:space="preserve"> </w:t>
      </w:r>
      <w:r>
        <w:rPr/>
        <w:t xml:space="preserve">11. Ocena </w:t>
      </w:r>
      <w:r>
        <w:rPr>
          <w:strike w:val="false"/>
          <w:dstrike w:val="false"/>
          <w:color w:val="000000"/>
        </w:rPr>
        <w:t xml:space="preserve"> </w:t>
      </w:r>
      <w:r>
        <w:rPr>
          <w:b/>
          <w:bCs/>
          <w:strike w:val="false"/>
          <w:dstrike w:val="false"/>
          <w:color w:val="000000"/>
        </w:rPr>
        <w:t xml:space="preserve">wg LKW </w:t>
      </w:r>
      <w:r>
        <w:rPr>
          <w:color w:val="000000"/>
        </w:rPr>
        <w:t xml:space="preserve">wniosku dokonywana jest w oparciu o Kartę oceny </w:t>
      </w:r>
      <w:r>
        <w:rPr>
          <w:b/>
          <w:bCs/>
          <w:color w:val="000000"/>
        </w:rPr>
        <w:t>LKW,</w:t>
      </w:r>
      <w:r>
        <w:rPr>
          <w:color w:val="000000"/>
        </w:rPr>
        <w:t xml:space="preserve">  która stanowi załącznik nr 5 do Procedury wyboru i oceny grantobiorców w ramach projektów grantowych wraz z opisem sposobu rozliczania grantów, monitorowania i kontroli, współfinanso</w:t>
      </w:r>
      <w:r>
        <w:rPr/>
        <w:t>wanego w ramach Europejskiego Funduszu Społecznego Plus Fundusze Europejskie dla Lubuskiego 2021-2027.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/>
        <w:t xml:space="preserve">12. Warunki wyboru projektu do dofinansowania/przyznania grantu określa </w:t>
      </w:r>
      <w:r>
        <w:rPr>
          <w:i/>
        </w:rPr>
        <w:t>Procedury wyboru i oceny grantobiorców w ramach projektów grantowych wraz z opisem sposobu rozliczania grantów, monitorowania i kontroli, współfinansowanego w ramach Europejskiego Funduszu Społecznego Plus Fundusze Europejskie dla Lubuskiego 2021-2027</w:t>
      </w:r>
      <w:r>
        <w:rPr/>
        <w:t>, która stanowi załącznik nr 1 do niniejszego Regulaminu.</w:t>
      </w:r>
    </w:p>
    <w:p>
      <w:pPr>
        <w:pStyle w:val="Normal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  <w:t>13. Wyniki oceny i wyboru grantobiorców w ramach naboru publikowane są na  stronie internetowej LGD poprzez zamieszczenie: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>
          <w:rFonts w:eastAsia="Arial Narrow" w:cs="Arial Narrow"/>
        </w:rPr>
        <w:t xml:space="preserve">a) </w:t>
      </w:r>
      <w:r>
        <w:rPr>
          <w:rFonts w:eastAsia="Arial Narrow"/>
        </w:rPr>
        <w:t>Listy ocenionych wniosków i wybranych grantobiorców;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  <w:t>b) Protokołu z posiedzenia Rady LGD dotyczącego oceny wniosków i wyboru grantobiorców oraz ustalenia kwoty wsparcia.</w:t>
      </w:r>
    </w:p>
    <w:p>
      <w:pPr>
        <w:pStyle w:val="Akapitzlist"/>
        <w:numPr>
          <w:ilvl w:val="0"/>
          <w:numId w:val="0"/>
        </w:numPr>
        <w:spacing w:before="120" w:after="200"/>
        <w:ind w:left="0" w:right="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>
          <w:rFonts w:eastAsia="Arial Narrow" w:cs="Arial Narrow"/>
        </w:rPr>
        <w:t xml:space="preserve">14.  </w:t>
      </w:r>
      <w:r>
        <w:rPr>
          <w:rFonts w:eastAsia="Arial Narrow"/>
        </w:rPr>
        <w:t>Po zakończeniu procesu oceny i wyboru grantobiorców następuje także  sporządzenie i wysłanie</w:t>
      </w:r>
      <w:r>
        <w:rPr/>
        <w:t xml:space="preserve"> na adres poczty elektronicznej wskazany we Wniosku lub poprzez system IT LGD</w:t>
      </w:r>
      <w:r>
        <w:rPr>
          <w:rFonts w:eastAsia="Arial Narrow"/>
        </w:rPr>
        <w:t xml:space="preserve"> pism informujących o wyniku oceny i wyboru do wszystkich wnioskodawców.</w:t>
      </w:r>
    </w:p>
    <w:p>
      <w:pPr>
        <w:pStyle w:val="Akapitzlist"/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/>
        <w:t>15. Grantobiorca może zrezygnować z udziału w Projekcie zarówno przed, jak i po zakończeniu oceny Wniosku.</w:t>
      </w:r>
    </w:p>
    <w:p>
      <w:pPr>
        <w:pStyle w:val="Akapitzlist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/>
        <w:t>16. W przypadku wycofania Wniosku przez Grantobiorcę przed oceną Wniosku, Wniosek zostaje pozostawiony bez rozpatrzenia.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/>
        <w:t>17. W przypadku rezygnacji Grantobiorcy przed zawarciem Umowy o powierzenie grantu, Grantodawca może zawrzeć umowę o powierzenie grantu z kolejnym podmiotem z listy rezerwowej, który osiągnął minimum punktowe,  po uprzednim podjęciu uchwały przez Radę.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/>
        <w:t>18. W przypadku rezygnacji Grantobiorcy po zawarciu Umowy o powierzenie Grantu, Umowa o powierzenie Grantu ulega rozwiązaniu na zasadach w niej określonych.</w:t>
      </w:r>
    </w:p>
    <w:p>
      <w:pPr>
        <w:pStyle w:val="Nagwek1"/>
        <w:jc w:val="left"/>
        <w:rPr/>
      </w:pPr>
      <w:bookmarkStart w:id="14" w:name="_Toc163034561"/>
      <w:r>
        <w:rPr/>
        <w:t>Rozdział X KOSZTY KWALIFIKOWALNE I NIEKWALIFIKOWALNE</w:t>
      </w:r>
      <w:bookmarkEnd w:id="14"/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Wydatki mają służyć wyłącznie realizacji celu określonego w niniejszym Regulaminie, zgodnego z Programem Regionalnym Fundusze Europejskie dla Lubuskiego 2021-2027. 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Wydatki poniesione w ramach Grantu są uznane za kwalifikowalne, jeśli: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08"/>
          <w:tab w:val="left" w:pos="704" w:leader="none"/>
        </w:tabs>
        <w:spacing w:before="185" w:after="0"/>
        <w:ind w:left="1134" w:hanging="425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dotyczą  realizacji celu i są zgodne z wytycznymi kawalifikowalności wydatków;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racjonalne i efektywne, zostały faktycznie poniesione w okresie wskazanym w Umowie, która stanowi załącznik nr 6 do</w:t>
      </w:r>
      <w:r>
        <w:rPr/>
        <w:t xml:space="preserve"> </w:t>
      </w:r>
      <w:r>
        <w:rPr>
          <w:rFonts w:cs="Arial"/>
          <w:szCs w:val="24"/>
        </w:rPr>
        <w:t xml:space="preserve">Procedury wyboru i oceny grantobiorców w ramach projektów grantowych wraz z opisem sposobu rozliczania grantów, monitorowania i kontroli, </w:t>
      </w:r>
      <w:r>
        <w:rPr/>
        <w:t>współ</w:t>
      </w:r>
      <w:r>
        <w:rPr>
          <w:rFonts w:cs="Arial"/>
          <w:szCs w:val="24"/>
        </w:rPr>
        <w:t>finansowanego w ramach Europejskiego Funduszu Społecznego Plus Fundusze Europejskie dla Lubuskiego 2021-2027;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udokumentowane w formie dokumentów finansowo-księgowych,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zostały przewidziane w zakresie rzeczowo-finansowym Wniosku,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zgodne z odrębnymi przepisami prawa powszechnie obowiązującego.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ind w:left="1080" w:hanging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/>
        <w:t>W ramach realizacji projektu objętego grantem kwalifikowalne są wydatki związane z realizacją: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>działań wspierających dzieci, młodzież i rodziny w zakresie integralnego rozwoju fizycznego, psychicznego, emocjonalnego i społecznego oraz rozwoju więzi (np. dramy, metody inscenizacji, wyjazdy do teatru lub zapraszanie teatru do lokalnej społeczności itp.);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>wsparcia w rozwijaniu kompetencji, umiejętności, uzdolnień oraz zainteresowań uczniów poza edukacja formalną (kółka zainteresowań, warsztaty teatralne, malarstwo, rzeźba, kółka fotograficzne zakończone np. wystawą prac udostępnioną społeczności lokalnej itp.).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>zajęcia kulturalne jako formę edukacji i aktywizacji lokalnej społeczności;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 xml:space="preserve">koszty administracyjne (np. obsługa księgowa, koordynacja, obsługa realizacji projektu) do 5 % kwoty dofinansowania przy realizacji projektu objętego grantem o wartości powyżej 50 000,00 zł. </w:t>
      </w:r>
    </w:p>
    <w:p>
      <w:pPr>
        <w:pStyle w:val="ListParagraph"/>
        <w:ind w:left="1134" w:hanging="0"/>
        <w:jc w:val="left"/>
        <w:rPr/>
      </w:pPr>
      <w:r>
        <w:rPr/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Każdy Grantobiorca złoży do Umowy o powierzenie Grantu oświadczenie o kwalifikowalności podatku od towarów i usług (VAT). Jeżeli z oświadczenia będzie wynikać, iż Grantobiorca nie ma prawnej możliwości odliczenia VAT od zakupionych towarów i usług, wówczas VAT jest kwalifikowalnym składnikiem wydatku. Jeżeli Grantobiorca ma możliwość odzyskania VAT, to nie jest on kwalifikowalny i Grant będzie rozliczany w kwotach netto.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Koszty obsługi Grantu (np. koszt prowadzenia rachunku bankowego, koszty biurowe – telefon, czynsz, prąd) nie są kwalifikowane.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LGD nie zakłada wydatków objętych cross-financingiem w zakresie projektu objętego grantem.</w:t>
        <w:br/>
        <w:t>Uwaga: LGD dopuszcza możliwość zakupów koniecznych do osiągnięcia celów projektu wynikających z wniosku o powierzenie grantu np. zakup sprzętu/urządzeń/mebli na potrzeby wyposażenia niezbędnego do realizacji wsparcia uczestników projektu, co nie stanowi cross-finansingu.</w:t>
        <w:br/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Dopuszcza się aktualizację zakresu rzeczowo-finansowego zawartego we Wniosku o powierzenie Grantu, na prośbę Grantobiorcy złożoną przed zakończeniem terminu, na który został udzielony Grant. Aktualizacja zakresu rzeczowo-finansowego wymaga zawarcia aneksu do Umowy o powierzenie Grantu.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Grantobiorca, bez zgody LGD, w ramach danej kategorii kosztów może dokonywać przesunięć w rodzajach kosztów określonych w budżecie wniosku o powierzenie grantu do 10% wartości środków, w odniesieniu do pozycji kosztu, z której są przesuwane środki, jak i do pozycji kosztu, na którą są przesuwane środki.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W odniesieniu do środków finansowych przekazanych Grantobiorcy w ramach Grantu, obowiązuje zakaz podwójnego finansowania. Koszty ponoszone w ramach realizacji Grantu nie mogą być w tym samym czasie finansowane z innych źródeł. Takie działanie skutkować będzie koniecznością zwrotu nieprawidłowo rozliczonej części otrzymanego Grantu.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Grantobiorca nie można pobierać opłat od uczestników projektu oraz uzyskiwać przychodu z realizowanego projektu.</w:t>
      </w:r>
    </w:p>
    <w:p>
      <w:pPr>
        <w:pStyle w:val="Akapitzlist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Warunkiem rozpoczęcia realizacji projektu objętego grantem jest podpisana</w:t>
      </w:r>
      <w:r>
        <w:rPr>
          <w:rFonts w:cs="Arial"/>
          <w:color w:val="000000"/>
          <w:szCs w:val="24"/>
          <w:lang w:val="pl-PL"/>
        </w:rPr>
        <w:t xml:space="preserve"> </w:t>
      </w:r>
      <w:r>
        <w:rPr>
          <w:rFonts w:cs="Arial"/>
          <w:color w:val="000000"/>
          <w:szCs w:val="24"/>
        </w:rPr>
        <w:t>Umowa o powierzenie grantu.</w:t>
      </w:r>
      <w:r>
        <w:rPr>
          <w:rFonts w:cs="Arial"/>
          <w:color w:val="000000"/>
          <w:szCs w:val="24"/>
          <w:lang w:val="pl-PL"/>
        </w:rPr>
        <w:t xml:space="preserve"> </w:t>
      </w:r>
      <w:r>
        <w:rPr>
          <w:rFonts w:cs="Arial"/>
          <w:color w:val="000000"/>
          <w:szCs w:val="24"/>
        </w:rPr>
        <w:t>Wydatki poniesione przed podpisaniem umowy o</w:t>
      </w:r>
      <w:r>
        <w:rPr>
          <w:rFonts w:cs="Arial"/>
          <w:color w:val="000000"/>
          <w:szCs w:val="24"/>
          <w:lang w:val="pl-PL"/>
        </w:rPr>
        <w:t xml:space="preserve"> </w:t>
      </w:r>
      <w:r>
        <w:rPr>
          <w:rFonts w:cs="Arial"/>
          <w:color w:val="000000"/>
          <w:szCs w:val="24"/>
        </w:rPr>
        <w:t xml:space="preserve">powierzenie grantu nie mogą zostać uznane za kwalifikowalne. 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Zaleca się, aby Grantobiorca stosował klauzule społeczne/aspekty społeczne przy udzielaniu zamówień na wybrane usługi czy zakupy.</w:t>
      </w:r>
    </w:p>
    <w:p>
      <w:pPr>
        <w:pStyle w:val="Nagwek1"/>
        <w:jc w:val="left"/>
        <w:rPr/>
      </w:pPr>
      <w:bookmarkStart w:id="15" w:name="_Toc163034562"/>
      <w:r>
        <w:rPr/>
        <w:t>Rozdział XI WSKAŹNIKI DO OSIĄGNIĘCIA W RAMACH REALIZACJI PROJEKTU OBJĘTEGO GRANTEM</w:t>
      </w:r>
      <w:bookmarkEnd w:id="15"/>
    </w:p>
    <w:p>
      <w:pPr>
        <w:pStyle w:val="Normal"/>
        <w:jc w:val="left"/>
        <w:rPr/>
      </w:pPr>
      <w:r>
        <w:rPr>
          <w:b/>
        </w:rPr>
        <w:t>Wskaźniki</w:t>
      </w:r>
      <w:r>
        <w:rPr/>
        <w:t xml:space="preserve"> to główne narzędzie służące do monitorowania postępu w realizacji zamierzonych celów, działań,  rezultatów w ramach  powierzonego Grantu. Wskaźniki odnoszą się do produktu oraz rezultatów. Wskaźniki powinny w sposób precyzyjny i mierzalny umożliwić weryfikację stopnia realizacji danego celu.</w:t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footnotePr>
            <w:numFmt w:val="decimal"/>
          </w:footnotePr>
          <w:type w:val="nextPage"/>
          <w:pgSz w:w="11906" w:h="16838"/>
          <w:pgMar w:left="1418" w:right="1418" w:gutter="0" w:header="567" w:top="1701" w:footer="709" w:bottom="1418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left"/>
        <w:rPr/>
      </w:pPr>
      <w:r>
        <w:rPr/>
        <w:t xml:space="preserve">Główną </w:t>
      </w:r>
      <w:r>
        <w:rPr>
          <w:b/>
        </w:rPr>
        <w:t>funkcją wskaźników</w:t>
      </w:r>
      <w:r>
        <w:rPr/>
        <w:t xml:space="preserve"> jest zmierzenie, na ile cel projektu (w przypadku wskaźników rezultatu) lub przewidziane w nim działania (wskaźniki produktu) zostały zrealizowane, tj. kiedy można uznać, że zidentyfikowany we wniosku o powierzenie grantu problem został rozwiązany lub złagodzony, a projekt zakończył się sukcesem. W trakcie realizacji projektu wskaźniki powinny ponadto umożliwiać mierzenie jego postępu względem celu projektu. Określając wskaźniki i ich wartości docelowe, należy mieć na uwadze ich definicje i sposób pomiaru określone w tabeli poniżej. Punktem wyjścia jest określenie wskaźników rezultatu, a następnie powiązanych z nimi wskaźników produktu. </w:t>
      </w:r>
    </w:p>
    <w:p>
      <w:pPr>
        <w:pStyle w:val="NoSpacing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Tab. </w:t>
      </w:r>
      <w:r>
        <w:rPr>
          <w:rFonts w:cs="Times New Roman" w:ascii="Arial Narrow" w:hAnsi="Arial Narrow"/>
          <w:b/>
          <w:sz w:val="24"/>
          <w:szCs w:val="24"/>
        </w:rPr>
        <w:t>WSKAŹNIKI PRODUKTU I REZULTATU (OBLIGATORYJNE DLA KAŻDEGO PROJEKTU) OKREŚLONE W LSR LGD BD</w:t>
      </w:r>
    </w:p>
    <w:p>
      <w:pPr>
        <w:pStyle w:val="NoSpacing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tbl>
      <w:tblPr>
        <w:tblStyle w:val="Tabelasiatki1jasna1"/>
        <w:tblW w:w="14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8"/>
        <w:gridCol w:w="7946"/>
        <w:gridCol w:w="2546"/>
        <w:gridCol w:w="22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Wskaźniki produktu</w:t>
            </w:r>
          </w:p>
        </w:tc>
        <w:tc>
          <w:tcPr>
            <w:tcW w:w="7946" w:type="dxa"/>
            <w:tcBorders>
              <w:bottom w:val="single" w:sz="12" w:space="0" w:color="666666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Definicja wskaźnika</w:t>
            </w:r>
          </w:p>
        </w:tc>
        <w:tc>
          <w:tcPr>
            <w:tcW w:w="2546" w:type="dxa"/>
            <w:tcBorders>
              <w:bottom w:val="single" w:sz="12" w:space="0" w:color="666666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Źródło weryfikacji</w:t>
            </w:r>
          </w:p>
        </w:tc>
        <w:tc>
          <w:tcPr>
            <w:tcW w:w="2260" w:type="dxa"/>
            <w:tcBorders>
              <w:bottom w:val="single" w:sz="12" w:space="0" w:color="666666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false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planowana do osiągnięcia w ramach naboru wniosków</w:t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WSKAŹNIKI PRODUKTU</w:t>
            </w:r>
          </w:p>
        </w:tc>
      </w:tr>
      <w:tr>
        <w:trPr/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bidi="ar-SA"/>
              </w:rPr>
              <w:t>Liczba osób pochodzących z obszarów wiejskich objętych wsparciem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Ludność objęta projektami w ramach strategii zintegrowanego rozwoju terytorialnego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</w:tc>
        <w:tc>
          <w:tcPr>
            <w:tcW w:w="79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Zgodnie z Listą Wskaźników Kluczowych 2021-2027 – EFS+ to osoby pochodzące z obszarów wiejskich należy rozumieć jako osoby przebywające na obszarach słabo zaludnionych zgodnie ze stopniem urbanizacji (DEGURBA kategoria 3).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Obszary słabo zaludnione to obszary, na których więcej niż 50% populacji zamieszkuje tereny wiejskie.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Wartość tego wskaźnika jest obliczana automatycznie na podstawie gminy zamieszkania uczestnika wg kategorii 3 klasyfikacji DEGURBA.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Kategoria 3 DEGURBA jest określana na podstawie: http://ec.europa.eu/eurostat/web/nuts/local-administrative-units - tabela dla roku odniesienia 2019.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Przynależność do grupy osób pochodzących z obszarów wiejskich określana jest w momencie rozpoczęcia udziału w projekcie, tj. w chwili rozpoczęcia udziału w pierwszej formie wsparcia w projekcie.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Liczba os</w:t>
            </w:r>
            <w:r>
              <w:rPr>
                <w:rFonts w:eastAsia="Calibri"/>
                <w:kern w:val="0"/>
                <w:sz w:val="22"/>
                <w:szCs w:val="22"/>
                <w:lang w:val="pl-PL" w:bidi="ar-SA"/>
              </w:rPr>
              <w:t>ób z obszaru objętego Lokalną Strategią Rozwoju, które uczestniczą w projektach realizowanych w ramach tej strategii.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Cs w:val="24"/>
                <w:lang w:val="pl-PL" w:bidi="ar-SA"/>
              </w:rPr>
              <w:t xml:space="preserve">Źródło pomiaru: </w:t>
            </w:r>
            <w:r>
              <w:rPr>
                <w:rFonts w:eastAsia="Calibri" w:cs="Times New Roman"/>
                <w:bCs/>
                <w:kern w:val="0"/>
                <w:szCs w:val="24"/>
                <w:lang w:val="pl-PL" w:bidi="ar-SA"/>
              </w:rPr>
              <w:t>Formularz rekrutacyjny uczestnika do projektu, Oświadczenie uczestnika/opiekuna prawnego potwierdzające udział w projekcie + Lista obecności/Lista uczestników potwierdzona przez prowadzącego daną formę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>: w momencie rozpoczęcia udziału w projekcie przez uczestnika lub w momencie przystąpienia do określonej formy wparcia.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cs="Times New Roman" w:ascii="Arial Narrow" w:hAnsi="Arial Narrow"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cs="Times New Roman" w:ascii="Arial Narrow" w:hAnsi="Arial Narrow"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cs="Times New Roman" w:ascii="Arial Narrow" w:hAnsi="Arial Narrow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Cs w:val="24"/>
                <w:lang w:val="pl-PL" w:eastAsia="en-US" w:bidi="ar-SA"/>
              </w:rPr>
              <w:t>Źródło pomiaru: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eastAsia="en-US" w:bidi="ar-SA"/>
              </w:rPr>
              <w:t>Formularz rekrutacyjny uczestnika do projektu,</w:t>
            </w:r>
            <w:r>
              <w:rPr>
                <w:rFonts w:eastAsia="Calibri" w:cs="Times New Roman"/>
                <w:b/>
                <w:bCs/>
                <w:kern w:val="0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pl-PL" w:eastAsia="en-US" w:bidi="ar-SA"/>
              </w:rPr>
              <w:t>Oświadczenie</w:t>
            </w:r>
            <w:r>
              <w:rPr>
                <w:rFonts w:eastAsia="Calibri" w:cs="Times New Roman"/>
                <w:b/>
                <w:bCs/>
                <w:kern w:val="0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pl-PL" w:eastAsia="en-US" w:bidi="ar-SA"/>
              </w:rPr>
              <w:t>uczestnika/opiekuna prawnego potwierdzające udział w projekcie + Lista obecności/Lista uczestników potwierdzona przez prowadzącego daną formę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>: w momencie rozpoczęcia udziału w projekcie przez uczestnika lub w momencie przystąpienia do określonej formy wparcia.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Wymiarki ) Min.60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Małomice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60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3 ( realizacja grantu w gminie Iłowa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60 .osób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4 ( realizacja grantu w gminie Gozdnica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58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Wymiarki ) Min.60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Małomice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60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3 ( realizacja grantu w gminie Iłowa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60 .osób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4 ( realizacja grantu w gminie Gozdnica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58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WSKAŹNIKI REZULTATU</w:t>
            </w:r>
          </w:p>
        </w:tc>
      </w:tr>
      <w:tr>
        <w:trPr/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bidi="ar-SA"/>
              </w:rPr>
              <w:t>Liczba uczniów, którzy nabyli kwalifikacje po opuszczeniu programu</w:t>
            </w:r>
          </w:p>
        </w:tc>
        <w:tc>
          <w:tcPr>
            <w:tcW w:w="79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Zgodnie z Listą Wskaźników Kluczowych 2021-2027 wskaźnik mierzy liczbę uczniów, którzy dzięki wsparciu z EFS+ nabyli kwalifikacje, kompetencje kluczowe, społeczne lub społeczno-emocjonalne lub umiejętności/kompetencje podstawowe, przekrojowe lub zawodowe.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Wskaźnik nie obejmuje dzieci objętych wychowaniem przedszkolnym.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Definicja kompetencji kluczowych, społecznych i społeczno-emocjonalnych oraz umiejętności/kompetencji podstawowych, przekrojowych i zawodowych jak w Zintegrowanej Strategii Umiejętności 2030 (część ogólna i szczegółowa).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Definicja kwalifikacji/kompetencji i sposób pomiaru jak we wskaźniku wspólnym liczba osób, które uzyskały kwalifikacje po opuszczeniu program (osoby), przy czym walidacja może być przeprowadzona przez nauczyciela/osobę prowadzącą zajęcia</w:t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Cs w:val="24"/>
                <w:lang w:val="pl-PL" w:bidi="ar-SA"/>
              </w:rPr>
              <w:t xml:space="preserve">Źródło pomiaru: </w:t>
            </w:r>
            <w:r>
              <w:rPr>
                <w:rFonts w:eastAsia="Calibri" w:cs="Times New Roman"/>
                <w:bCs/>
                <w:kern w:val="0"/>
                <w:sz w:val="22"/>
                <w:szCs w:val="24"/>
                <w:lang w:val="pl-PL" w:bidi="ar-SA"/>
              </w:rPr>
              <w:t>dokumenty potwierdzające pozyskanie wiedzy/kompetencji np. dyplom, certyfikat, zaświadczenie, oświadczenie trenera/ doradcy.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pomiaru: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 xml:space="preserve"> do 4 tygodni następujących po zakończeniu udziału uczestnika w projekcie objętym grantem.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Wymiarki ) Min. 4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9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 xml:space="preserve">.%  osób objętych wsparciem tj. min 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30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 xml:space="preserve"> os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Małomice)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4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9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 xml:space="preserve">.%.osób objętych wsparciem tj. min. 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30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 xml:space="preserve"> os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3 ( realizacja grantu w gminie Iłowa ) Min. 4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9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 xml:space="preserve">.%  osób objętych wsparciem tj. min 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30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 xml:space="preserve"> osoby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4 ( realizacja grantu w gminie Gozdnica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eastAsia="en-US" w:bidi="ar-SA"/>
              </w:rPr>
              <w:t xml:space="preserve">Min 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eastAsia="en-US" w:bidi="ar-SA"/>
              </w:rPr>
              <w:t>49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eastAsia="en-US" w:bidi="ar-SA"/>
              </w:rPr>
              <w:t>.%.osób objętych wsparciem tj. min. 2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eastAsia="en-US" w:bidi="ar-SA"/>
              </w:rPr>
              <w:t>9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eastAsia="en-US" w:bidi="ar-SA"/>
              </w:rPr>
              <w:t xml:space="preserve"> os</w:t>
            </w: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eastAsia="en-US" w:bidi="ar-SA"/>
              </w:rPr>
              <w:t>ób</w:t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kern w:val="0"/>
                <w:sz w:val="24"/>
                <w:szCs w:val="24"/>
                <w:lang w:val="pl-PL" w:eastAsia="pl-PL" w:bidi="ar-SA"/>
              </w:rPr>
              <w:t>WSKAŹNIKI REZULTATU</w:t>
            </w:r>
          </w:p>
        </w:tc>
      </w:tr>
      <w:tr>
        <w:trPr>
          <w:trHeight w:val="70" w:hRule="atLeast"/>
        </w:trPr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bidi="ar-SA"/>
              </w:rPr>
              <w:t>Liczba osób, które zakończyły udział w działaniach kulturalnych, aktywizacyjnych lub edukacyjnych</w:t>
            </w:r>
          </w:p>
        </w:tc>
        <w:tc>
          <w:tcPr>
            <w:tcW w:w="79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Do wskaźnika wliczane są osoby bierne zawodowo, bezrobotne oraz pracujące, które zakończyły udział w działaniach edukacyjnych, kulturalnych czy aktywizacyjnych (np. udział w terapiach artystyczno-zajęciowych, warsztatach tematycznych: muzycznych, teatralnych, rysunkowych, edukacyjnych) umożliwiających lokalnej społeczności partycypowanie i tworzenie życia kulturalnego danego obszaru. Uczestnik wykazywany jest raz w ramach wskaźnika niezależnie od ilości działań, w których zakończył udział.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Wskaźnik jest mierzony do 4 tygodni po zakończeniu udziału w projekcie.</w:t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Źródło pomiaru:</w:t>
            </w:r>
            <w:r>
              <w:rPr>
                <w:rFonts w:eastAsia="Calibri" w:cs="Times New Roman"/>
                <w:bCs/>
                <w:kern w:val="0"/>
                <w:sz w:val="22"/>
                <w:szCs w:val="24"/>
                <w:lang w:val="pl-PL" w:bidi="ar-SA"/>
              </w:rPr>
              <w:t xml:space="preserve"> Oświadczenie o zakończeniu udziału w projekcie uczestnika/opiekuna prawnego/ dokumenty potwierdzające zakończenie i uzyskanie wiedzy/kompetencji np. dyplomy, certyfikaty/zaświadczenia, oświadczenie trenerów/ osób prowadzących warsztaty/zajęcia itp.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pomiaru: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 xml:space="preserve"> w momencie zakończenia udziału w projekcie przez uczestnika/udziału w ostatniej formie wsparcia. Wskaźnik mierzony jest do 4 tygodni po zakończeniu udziału w projekcie.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Wymiarki ) Min. 66.%  osób objętych wsparciem tj. min 40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Małomice)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66.%.osób objętych wsparciem tj. min. 40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3 ( realizacja grantu w gminie Iłowa ) Min. 66.%  osób objętych wsparciem tj. min 40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4 ( realizacja grantu w gminie Gozdnica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eastAsia="en-US" w:bidi="ar-SA"/>
              </w:rPr>
              <w:t>Min 66.%.osób objętych wsparciem tj. min. 39 osób</w:t>
            </w:r>
          </w:p>
        </w:tc>
      </w:tr>
    </w:tbl>
    <w:p>
      <w:pPr>
        <w:pStyle w:val="Normal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>
            <w:numFmt w:val="decimal"/>
          </w:footnotePr>
          <w:type w:val="nextPage"/>
          <w:pgSz w:orient="landscape" w:w="16838" w:h="11906"/>
          <w:pgMar w:left="1418" w:right="1701" w:gutter="0" w:header="284" w:top="1418" w:footer="709" w:bottom="1418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left"/>
        <w:rPr>
          <w:rFonts w:cs="Times New Roman"/>
          <w:b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Grantobiorca zobowiązany jest do monitorowania wskaźników na etapie realizacji  projektu objętego grantem. Każdorazowo przy składaniu sprawozdania merytoryczno – finansowego, grantobiorca zobowiązany jest do wykazywania postępu w osiąganiu tych wskaźników.   </w:t>
      </w:r>
    </w:p>
    <w:p>
      <w:pPr>
        <w:pStyle w:val="Nagwek1"/>
        <w:jc w:val="left"/>
        <w:rPr>
          <w:rFonts w:cs="Times New Roman"/>
          <w:szCs w:val="24"/>
        </w:rPr>
      </w:pPr>
      <w:bookmarkStart w:id="16" w:name="_Toc163034563"/>
      <w:r>
        <w:rPr/>
        <w:t>Rozdział XII TERMIN, SPOSÓB I FORMA SKŁADANIA WNIOSKÓ</w:t>
      </w:r>
      <w:bookmarkEnd w:id="16"/>
      <w:r>
        <w:rPr/>
        <w:t>WNabór wniosków jest prowadzony w terminie określonym w ogłoszeniu o naborze wniosków.</w:t>
      </w:r>
    </w:p>
    <w:p>
      <w:pPr>
        <w:pStyle w:val="Normal"/>
        <w:jc w:val="left"/>
        <w:rPr>
          <w:rFonts w:cs="Times New Roman"/>
          <w:szCs w:val="24"/>
        </w:rPr>
      </w:pPr>
      <w:r>
        <w:rPr/>
        <w:t xml:space="preserve">      </w:t>
      </w:r>
      <w:r>
        <w:rPr/>
        <w:t xml:space="preserve">1. Nabór wniosków jest prowadzony w terminie określonym w ogłoszeniu o naborze wniosków. 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 </w:t>
      </w:r>
      <w:r>
        <w:rPr/>
        <w:t xml:space="preserve">2. Grantodawca podaje do publicznej wiadomości, co najmniej na swojej stronie internetowej oraz   na tablicy ogłoszeń w siedzibie Grantodawcy, ogłoszenie o naborze wniosków, nie później niż 14 dni przed dniem planowanego rozpoczęcia terminu składania tych wniosków. </w:t>
      </w:r>
    </w:p>
    <w:p>
      <w:pPr>
        <w:pStyle w:val="ListParagrap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</w:t>
      </w:r>
      <w:r>
        <w:rPr>
          <w:rFonts w:cs="Times New Roman"/>
          <w:bCs/>
          <w:szCs w:val="24"/>
        </w:rPr>
        <w:t>3. Grantodawca w miejscu upublicznienia informacji o prowadzonym naborze zamieszcza link do Generatora wniosków.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 </w:t>
      </w:r>
      <w:r>
        <w:rPr/>
        <w:t>4. Termin składania wniosków nie powinien być krótszy niż 14 dni i dłuższy niż 60 dni.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 </w:t>
      </w:r>
      <w:r>
        <w:rPr/>
        <w:t>5. Formularz wniosku o powierzenie grantu, stanowiący załącznik nr 6</w:t>
      </w:r>
      <w:r>
        <w:rPr>
          <w:b/>
        </w:rPr>
        <w:t xml:space="preserve"> </w:t>
      </w:r>
      <w:r>
        <w:rPr/>
        <w:t>do Procedury wyboru i oceny grantobiorców w ramach projektów grantowych wraz z opisem sposobu rozliczania grantów, monitorowania i kontroli, współfinansowanego w ramach Europejskiego Funduszu Społecznego Plus Fundusze Europejskie dla Lubuskiego 2021-2027 i załączniki (wg obowiązujących wzorów wskazanych w Ogłoszeniu o naborze), należy wypełnić w generatorze wniosków w systemie IT LGD.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</w:t>
      </w:r>
      <w:r>
        <w:rPr/>
        <w:t>6. Wersję ostateczną kompletnie wypełnionego formularza wniosku o powierzenie grantu należy wydrukować i podpisać (pieczątka podmiotu oraz pieczątka/i imienna/e osoby/osób upoważnionej/ych).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</w:t>
      </w:r>
      <w:r>
        <w:rPr/>
        <w:t>7. Wniosek oraz załączniki należy złożyć w trwale spiętej formie, uniemożliwiający przypadkową dekompletację, np. w segregatorze lub skoroszycie wraz z wersją elektroniczną (płyta lub pendrive); wersja elektroniczna musi zawierać wniosek w wersji zgodnej z wersją papierową.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</w:t>
      </w:r>
      <w:r>
        <w:rPr>
          <w:rFonts w:cs="Times New Roman"/>
          <w:bCs/>
          <w:szCs w:val="24"/>
        </w:rPr>
        <w:t>8.  Wnioskodawca zobligowany jest dostarczyć wniosek w dwóch egzemplarzach (oryginał i kopia), Kopia po potwierdzeniu złożenia, zwracana jest Wnioskodawcy.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</w:t>
      </w:r>
      <w:r>
        <w:rPr>
          <w:rFonts w:cs="Times New Roman"/>
          <w:bCs/>
          <w:szCs w:val="24"/>
        </w:rPr>
        <w:t xml:space="preserve">9.  </w:t>
      </w:r>
      <w:r>
        <w:rPr>
          <w:rFonts w:cs="Times New Roman"/>
          <w:bCs/>
          <w:szCs w:val="24"/>
          <w:lang w:val="pl-PL"/>
        </w:rPr>
        <w:t xml:space="preserve">Wnioskodawca składa wniosek o powierzenie grantu bezpośrednio tj. osobiście albo przez pełnomocnika albo przez osobę uprawnioną do reprezentacji </w:t>
      </w:r>
      <w:r>
        <w:rPr>
          <w:rFonts w:cs="Times New Roman"/>
          <w:bCs/>
          <w:szCs w:val="24"/>
        </w:rPr>
        <w:t>w biurze Grantodawcy</w:t>
      </w:r>
      <w:r>
        <w:rPr>
          <w:rFonts w:cs="Times New Roman"/>
          <w:bCs/>
          <w:szCs w:val="24"/>
          <w:lang w:val="pl-PL"/>
        </w:rPr>
        <w:t>. N</w:t>
      </w:r>
      <w:r>
        <w:rPr>
          <w:rFonts w:cs="Times New Roman"/>
          <w:bCs/>
          <w:szCs w:val="24"/>
        </w:rPr>
        <w:t xml:space="preserve">ie dopuszcza się składania </w:t>
      </w:r>
      <w:r>
        <w:rPr>
          <w:rFonts w:cs="Times New Roman"/>
          <w:bCs/>
          <w:szCs w:val="24"/>
          <w:lang w:val="pl-PL"/>
        </w:rPr>
        <w:t>wniosków</w:t>
      </w:r>
      <w:r>
        <w:rPr>
          <w:rFonts w:cs="Times New Roman"/>
          <w:bCs/>
          <w:szCs w:val="24"/>
        </w:rPr>
        <w:t xml:space="preserve"> za pośrednictwem poczty elektronicznej lub kuriera/operatora pocztowego.</w:t>
      </w:r>
      <w:r>
        <w:rPr>
          <w:rFonts w:cs="Times New Roman"/>
          <w:bCs/>
          <w:szCs w:val="24"/>
          <w:lang w:val="pl-PL"/>
        </w:rPr>
        <w:t xml:space="preserve"> Złożone w ten sposób wnioski nie będą rozpatrywane.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</w:t>
      </w:r>
      <w:r>
        <w:rPr>
          <w:rFonts w:cs="Times New Roman"/>
          <w:bCs/>
          <w:szCs w:val="24"/>
        </w:rPr>
        <w:t xml:space="preserve">10. Wniosek należy złożyć w </w:t>
      </w:r>
      <w:r>
        <w:rPr>
          <w:rFonts w:cs="Times New Roman"/>
          <w:bCs/>
          <w:szCs w:val="24"/>
          <w:lang w:val="pl-PL"/>
        </w:rPr>
        <w:t>biurze</w:t>
      </w:r>
      <w:r>
        <w:rPr>
          <w:rFonts w:cs="Times New Roman"/>
          <w:bCs/>
          <w:szCs w:val="24"/>
        </w:rPr>
        <w:t xml:space="preserve"> Gran</w:t>
      </w:r>
      <w:r>
        <w:rPr>
          <w:rFonts w:cs="Times New Roman"/>
          <w:bCs/>
          <w:szCs w:val="24"/>
          <w:lang w:val="pl-PL"/>
        </w:rPr>
        <w:t>t</w:t>
      </w:r>
      <w:r>
        <w:rPr>
          <w:rFonts w:cs="Times New Roman"/>
          <w:bCs/>
          <w:szCs w:val="24"/>
        </w:rPr>
        <w:t>odawcy w trakcie trwania naboru wniosków, w godzinach wskazanych w ogłoszeniu o naborze</w:t>
      </w:r>
      <w:r>
        <w:rPr>
          <w:rFonts w:cs="Times New Roman"/>
          <w:bCs/>
          <w:szCs w:val="24"/>
          <w:lang w:val="pl-PL"/>
        </w:rPr>
        <w:t>.</w:t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19</w:t>
      </w:r>
    </w:p>
    <w:p>
      <w:pPr>
        <w:pStyle w:val="Nagwek1"/>
        <w:jc w:val="left"/>
        <w:rPr>
          <w:rFonts w:cs="Times New Roman"/>
          <w:szCs w:val="24"/>
        </w:rPr>
      </w:pPr>
      <w:bookmarkStart w:id="17" w:name="_Toc163034564"/>
      <w:r>
        <w:rPr/>
        <w:t>Rozdział XIII PODSTAWOWE OBOWIĄZKI GRANTOBIORCY</w:t>
      </w:r>
      <w:bookmarkEnd w:id="17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Grantobiorca ma w szczególności obowiązek:</w:t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zapoznania się z Regulaminem naboru wniosków wraz z załącznikami, dotyczącymi realizacji projektu grantowego przed złożeniem Wniosku o powierzenie Grantu. Złożenie Wniosku o powierzenie Grantu oznacza - deklarację udziału w Projekcie, zaakceptowanie warunków Regulaminu i zobowiązanie się do ich stosowania;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podawania prawdziwych informacji w dokumentach przedstawianych Grantodawcy pod rygorem odpowiedzialności karnej za składanie oświadczeń niezgodnych z prawdą;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poddania się czynnościom monitoringowym i kontrolnym zgodnie z postanowieniami Procedury;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przedkładania do Grantodawcy wszelkich dokumentów niezbędnych do rozliczenia Grantu;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udostępniania lub przekazywania na wniosek Grantodawcy wszelkich dokumentów i informacji dotyczących realizacji Grantu, w tym oryginałów dokumentów związanych z uzyskaniem i wykorzystaniem Grantu;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wykorzystania Grantu zgodnie z Umową o powierzenie Grantu i Regulaminem;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projekt objęty grantem powinien być realizowany zgodnie z poszanowaniem zasad horyzontalnych wynikających z przepisów prawa krajowego i unijnego, tj.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zasadą równości szans i niedyskryminacji, w tym dostępności dla osób z niepełnosprawnościami,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zasadą równości szans kobiet i mężczyzn w oparciu o standard minimum,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zasadą zrównoważonego rozwoju,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Kartą Praw Podstawowych Unii Europejskiej z dnia 7 czerwca 2016 r.,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 xml:space="preserve">Konwencją o Prawach Osób Niepełnosprawnych, sporządzoną w Nowym Jorku dnia 13 grudnia 2006 r. </w:t>
      </w:r>
    </w:p>
    <w:p>
      <w:pPr>
        <w:pStyle w:val="ListParagraph"/>
        <w:ind w:left="720" w:hanging="0"/>
        <w:jc w:val="left"/>
        <w:rPr>
          <w:b/>
          <w:b/>
          <w:bCs/>
        </w:rPr>
      </w:pPr>
      <w:r>
        <w:rPr>
          <w:b/>
          <w:bCs/>
        </w:rPr>
        <w:t>Wnioskodawca ubiegający się o przyznanie grantu zobowiązany jest we wniosku o powierzenie grantu przedstawić sposób realizacji poszczególnych zasad.</w:t>
      </w:r>
    </w:p>
    <w:p>
      <w:pPr>
        <w:pStyle w:val="Nagwek1"/>
        <w:jc w:val="left"/>
        <w:rPr>
          <w:rFonts w:cs="Times New Roman"/>
          <w:szCs w:val="24"/>
        </w:rPr>
      </w:pPr>
      <w:bookmarkStart w:id="18" w:name="_Toc163034565"/>
      <w:r>
        <w:rPr/>
        <w:t>Rozdział XIV SPOSÓB ROZLICZANIA GRANTÓW, MONITOROWANIE I KONTROLA</w:t>
      </w:r>
      <w:bookmarkEnd w:id="18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Sposób rozliczania grantów, monitorowanie i kontrola ich realizacji odbywać się będzie na zasadach określonych w Procedurze wyboru i oceny grantobiorców w ramach projektów grantowych wraz z opisem sposobu rozliczania grantów, monitorowania i kontroli, współfinansowanego w ramach Europejskiego Funduszu Społecznego Plus Fundusze Europejskie dla Lubuskiego 2021-2027, która stanowi załącznik nr 1 do niniejszego Regulamin.</w:t>
      </w:r>
    </w:p>
    <w:p>
      <w:pPr>
        <w:pStyle w:val="Normal"/>
        <w:jc w:val="right"/>
        <w:rPr/>
      </w:pPr>
      <w:r>
        <w:rPr>
          <w:rFonts w:cs="Times New Roman"/>
          <w:bCs/>
          <w:szCs w:val="24"/>
        </w:rPr>
        <w:t>20</w:t>
      </w:r>
    </w:p>
    <w:p>
      <w:pPr>
        <w:pStyle w:val="Nagwek1"/>
        <w:jc w:val="left"/>
        <w:rPr>
          <w:rFonts w:cs="Times New Roman"/>
          <w:szCs w:val="24"/>
        </w:rPr>
      </w:pPr>
      <w:bookmarkStart w:id="19" w:name="_Toc163034566"/>
      <w:r>
        <w:rPr/>
        <w:t>Rozdział XV POSTANOWIENIA KOŃCOWE</w:t>
      </w:r>
      <w:bookmarkEnd w:id="19"/>
    </w:p>
    <w:p>
      <w:pPr>
        <w:pStyle w:val="ListParagraph"/>
        <w:numPr>
          <w:ilvl w:val="0"/>
          <w:numId w:val="15"/>
        </w:numPr>
        <w:ind w:left="360" w:hanging="360"/>
        <w:jc w:val="left"/>
        <w:rPr>
          <w:rFonts w:cs="Times New Roman"/>
          <w:bCs/>
          <w:szCs w:val="24"/>
        </w:rPr>
      </w:pPr>
      <w:r>
        <w:rPr/>
        <w:t>Grantodawca zastrzega sobie prawo do zmiany zapisów niniejszego Regulaminu oraz jego załączników, jeżeli zmiany takie narzuci Instytucja Zarządzająca Programem Fundusze Europejskie dla Lubuskiego 2021-2027, bądź wynikną one z nowych uregulowań prawnych, a także w innych przypadkach, w szczególności, jeżeli będzie to niezbędne do prawidłowej realizacji Projektu. Informacja o ewentualnych zmianach będzie zamieszczana na stronie internetowej Grantodawcy z podaniem daty od kiedy obowiązuje zmiana i w jakim zakresie. Informacja rozpowszechniona zostanie we wszystkich miejscach, w których ogłoszony został nabór.</w:t>
      </w:r>
    </w:p>
    <w:p>
      <w:pPr>
        <w:pStyle w:val="ListParagraph"/>
        <w:numPr>
          <w:ilvl w:val="0"/>
          <w:numId w:val="15"/>
        </w:numPr>
        <w:ind w:left="360" w:hanging="360"/>
        <w:jc w:val="left"/>
        <w:rPr>
          <w:rFonts w:cs="Times New Roman"/>
          <w:bCs/>
          <w:szCs w:val="24"/>
        </w:rPr>
      </w:pPr>
      <w:r>
        <w:rPr/>
        <w:t>Sprawy nieuregulowane w Regulaminie rozstrzygane są przez Grantodawcę.</w:t>
      </w:r>
    </w:p>
    <w:p>
      <w:pPr>
        <w:pStyle w:val="Nagwek1"/>
        <w:jc w:val="left"/>
        <w:rPr>
          <w:rFonts w:cs="Times New Roman"/>
          <w:szCs w:val="24"/>
        </w:rPr>
      </w:pPr>
      <w:bookmarkStart w:id="20" w:name="_Toc163034567"/>
      <w:r>
        <w:rPr/>
        <w:t>Rozdział XVI DODATKOWE INFORMACJE NA TEMAT NABORU</w:t>
      </w:r>
      <w:bookmarkEnd w:id="20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Dodatkowe informacje na temat naboru można uzyskać mailowo, telefonicznie lub w siedzibie Grantodawcy.</w:t>
      </w:r>
    </w:p>
    <w:p>
      <w:pPr>
        <w:pStyle w:val="Nagwek1"/>
        <w:jc w:val="left"/>
        <w:rPr>
          <w:rFonts w:cs="Times New Roman"/>
          <w:szCs w:val="24"/>
        </w:rPr>
      </w:pPr>
      <w:bookmarkStart w:id="21" w:name="_Toc163034568"/>
      <w:r>
        <w:rPr>
          <w:rFonts w:eastAsia="Calibri" w:eastAsiaTheme="minorHAnsi"/>
        </w:rPr>
        <w:t>Załączniki do Regulaminu</w:t>
      </w:r>
      <w:r>
        <w:rPr/>
        <w:t>:</w:t>
      </w:r>
      <w:bookmarkEnd w:id="21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Załącznik Nr 1 – Procedury wyboru i oceny grantobiorców w ramach projektów grantowych wraz z opisem sposobu rozliczania grantów, monitorowania i kontroli współfinansowanego w ramach Europejskiego Funduszu Społecznego Plus Fundusze Europejskie dla Lubuskiego 2021-2027.</w:t>
      </w:r>
    </w:p>
    <w:p>
      <w:pPr>
        <w:pStyle w:val="Normal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right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  <w:t>21</w:t>
      </w:r>
    </w:p>
    <w:sectPr>
      <w:headerReference w:type="default" r:id="rId13"/>
      <w:footerReference w:type="default" r:id="rId14"/>
      <w:footnotePr>
        <w:numFmt w:val="decimal"/>
      </w:footnotePr>
      <w:type w:val="nextPage"/>
      <w:pgSz w:w="11906" w:h="16838"/>
      <w:pgMar w:left="1418" w:right="1418" w:gutter="0" w:header="284" w:top="1701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5" wp14:anchorId="698437AF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019165" cy="687705"/>
              <wp:effectExtent l="0" t="0" r="0" b="0"/>
              <wp:wrapSquare wrapText="bothSides"/>
              <wp:docPr id="4" name="Grupa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200" cy="687600"/>
                        <a:chOff x="0" y="0"/>
                        <a:chExt cx="6019200" cy="687600"/>
                      </a:xfrm>
                    </wpg:grpSpPr>
                    <pic:pic xmlns:pic="http://schemas.openxmlformats.org/drawingml/2006/picture">
                      <pic:nvPicPr>
                        <pic:cNvPr id="0" name="Obraz 3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5085000" y="90720"/>
                          <a:ext cx="934200" cy="515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125520" y="82080"/>
                          <a:ext cx="1734120" cy="58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9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1530360" y="72360"/>
                          <a:ext cx="1482120" cy="58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0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428840" cy="687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3" style="position:absolute;margin-left:0pt;margin-top:0.05pt;width:473.95pt;height:54.15pt" coordorigin="0,1" coordsize="9479,10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3" stroked="f" o:allowincell="f" style="position:absolute;left:8008;top:144;width:1470;height:811;mso-wrap-style:none;v-text-anchor:middle;mso-position-horizontal-relative:margin" type="_x0000_t75">
                <v:imagedata r:id="rId1" o:detectmouseclick="t"/>
                <v:stroke color="#3465a4" joinstyle="round" endcap="flat"/>
                <w10:wrap type="square"/>
              </v:shape>
              <v:shape id="shape_0" ID="Obraz 5" stroked="f" o:allowincell="f" style="position:absolute;left:4922;top:130;width:2730;height:920;mso-wrap-style:none;v-text-anchor:middle;mso-position-horizontal-relative:margin" type="_x0000_t75">
                <v:imagedata r:id="rId2" o:detectmouseclick="t"/>
                <v:stroke color="#3465a4" joinstyle="round" endcap="flat"/>
                <w10:wrap type="square"/>
              </v:shape>
              <v:shape id="shape_0" ID="Obraz 9" stroked="f" o:allowincell="f" style="position:absolute;left:2410;top:115;width:2333;height:920;mso-wrap-style:none;v-text-anchor:middle;mso-position-horizontal-relative:margin" type="_x0000_t75">
                <v:imagedata r:id="rId3" o:detectmouseclick="t"/>
                <v:stroke color="#3465a4" joinstyle="round" endcap="flat"/>
                <w10:wrap type="square"/>
              </v:shape>
              <v:shape id="shape_0" ID="Obraz 10" stroked="f" o:allowincell="f" style="position:absolute;left:0;top:1;width:2249;height:1082;mso-wrap-style:none;v-text-anchor:middle;mso-position-horizontal-relative:margin" type="_x0000_t75">
                <v:imagedata r:id="rId4" o:detectmouseclick="t"/>
                <v:stroke color="#3465a4" joinstyle="round" endcap="flat"/>
                <w10:wrap type="square"/>
              </v:shape>
            </v:group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98369703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1960084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Normal"/>
      <w:widowControl/>
      <w:suppressAutoHyphens w:val="true"/>
      <w:bidi w:val="0"/>
      <w:spacing w:lineRule="auto" w:line="276" w:before="0" w:after="200"/>
      <w:jc w:val="both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3" name="Obraz3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5" name="Obraz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6" name="Obraz4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4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7" name="Obraz6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6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4800"/>
    <w:pPr>
      <w:widowControl/>
      <w:suppressAutoHyphens w:val="true"/>
      <w:bidi w:val="0"/>
      <w:spacing w:lineRule="auto" w:line="276" w:before="0" w:after="200"/>
      <w:jc w:val="both"/>
    </w:pPr>
    <w:rPr>
      <w:rFonts w:ascii="Arial Narrow" w:hAnsi="Arial Narrow" w:eastAsia="Calibri" w:cs="" w:cstheme="minorBidi" w:eastAsiaTheme="minorHAnsi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23d57"/>
    <w:pPr>
      <w:keepNext w:val="true"/>
      <w:keepLines/>
      <w:spacing w:lineRule="auto" w:line="240" w:before="480" w:after="240"/>
      <w:outlineLvl w:val="0"/>
    </w:pPr>
    <w:rPr>
      <w:rFonts w:eastAsia="Times New Roman" w:cs="" w:cstheme="majorBidi"/>
      <w:b/>
      <w:bCs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174800"/>
    <w:pPr>
      <w:keepNext w:val="true"/>
      <w:keepLines/>
      <w:spacing w:before="200" w:after="200"/>
      <w:outlineLvl w:val="1"/>
    </w:pPr>
    <w:rPr>
      <w:rFonts w:eastAsia="" w:cs="" w:cstheme="majorBidi" w:eastAsiaTheme="majorEastAsia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571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4a571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a571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a5715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sid w:val="00b23d57"/>
    <w:rPr>
      <w:rFonts w:ascii="Arial Narrow" w:hAnsi="Arial Narrow" w:eastAsia="Times New Roman" w:cs="" w:cstheme="majorBidi"/>
      <w:b/>
      <w:bCs/>
      <w:sz w:val="28"/>
      <w:szCs w:val="2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e04477"/>
    <w:rPr>
      <w:rFonts w:ascii="Arial Narrow" w:hAnsi="Arial Narrow"/>
      <w:sz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e04477"/>
    <w:rPr>
      <w:rFonts w:ascii="Arial Narrow" w:hAnsi="Arial Narrow"/>
      <w:sz w:val="24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174800"/>
    <w:rPr>
      <w:rFonts w:ascii="Arial Narrow" w:hAnsi="Arial Narrow" w:eastAsia="" w:cs="" w:cstheme="majorBidi" w:eastAsiaTheme="majorEastAsia"/>
      <w:b/>
      <w:bCs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da5a10"/>
    <w:rPr>
      <w:color w:val="0000FF" w:themeColor="hyperlink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251747"/>
    <w:rPr>
      <w:rFonts w:ascii="Arial Narrow" w:hAnsi="Arial Narrow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c7291"/>
    <w:rPr>
      <w:vertAlign w:val="superscript"/>
    </w:rPr>
  </w:style>
  <w:style w:type="character" w:styleId="Spistreci1Znak" w:customStyle="1">
    <w:name w:val="Spis treści 1 Znak"/>
    <w:basedOn w:val="DefaultParagraphFont"/>
    <w:uiPriority w:val="39"/>
    <w:qFormat/>
    <w:rsid w:val="0032526a"/>
    <w:rPr>
      <w:rFonts w:ascii="Arial Narrow" w:hAnsi="Arial Narrow" w:eastAsia="" w:eastAsiaTheme="minorEastAsia"/>
      <w:sz w:val="24"/>
    </w:rPr>
  </w:style>
  <w:style w:type="character" w:styleId="Czeindeksu" w:customStyle="1">
    <w:name w:val="Łącze indeksu"/>
    <w:qFormat/>
    <w:rPr/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bc7291"/>
    <w:rPr>
      <w:rFonts w:ascii="Arial Narrow" w:hAnsi="Arial Narrow"/>
      <w:sz w:val="20"/>
      <w:szCs w:val="20"/>
      <w:lang w:eastAsia="pl-PL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c7291"/>
    <w:rPr>
      <w:vertAlign w:val="superscript"/>
    </w:rPr>
  </w:style>
  <w:style w:type="character" w:styleId="WW8Num7z0">
    <w:name w:val="WW8Num7z0"/>
    <w:qFormat/>
    <w:rPr>
      <w:b w:val="false"/>
      <w:color w:val="000000"/>
      <w:sz w:val="24"/>
      <w:szCs w:val="24"/>
    </w:rPr>
  </w:style>
  <w:style w:type="character" w:styleId="WW8Num16z0">
    <w:name w:val="WW8Num16z0"/>
    <w:qFormat/>
    <w:rPr>
      <w:b w:val="false"/>
      <w:color w:val="000000"/>
    </w:rPr>
  </w:style>
  <w:style w:type="character" w:styleId="WW8Num16z1">
    <w:name w:val="WW8Num16z1"/>
    <w:qFormat/>
    <w:rPr/>
  </w:style>
  <w:style w:type="character" w:styleId="WW8Num2z0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044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4a57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a571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a57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07ef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8448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e044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ndexheading">
    <w:name w:val="index heading"/>
    <w:basedOn w:val="Gwka"/>
    <w:qFormat/>
    <w:pPr/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unhideWhenUsed/>
    <w:qFormat/>
    <w:rsid w:val="00da5a10"/>
    <w:pPr>
      <w:spacing w:lineRule="auto" w:line="276"/>
      <w:jc w:val="left"/>
      <w:outlineLvl w:val="9"/>
    </w:pPr>
    <w:rPr>
      <w:rFonts w:ascii="Cambria" w:hAnsi="Cambria" w:asciiTheme="majorHAnsi" w:hAnsiTheme="majorHAnsi"/>
      <w:lang w:eastAsia="en-US"/>
    </w:rPr>
  </w:style>
  <w:style w:type="paragraph" w:styleId="Spistreci2">
    <w:name w:val="TOC 2"/>
    <w:basedOn w:val="Normal"/>
    <w:next w:val="Normal"/>
    <w:autoRedefine/>
    <w:uiPriority w:val="39"/>
    <w:unhideWhenUsed/>
    <w:qFormat/>
    <w:rsid w:val="00174800"/>
    <w:pPr>
      <w:tabs>
        <w:tab w:val="clear" w:pos="708"/>
        <w:tab w:val="right" w:pos="9060" w:leader="dot"/>
      </w:tabs>
      <w:spacing w:before="0" w:after="100"/>
      <w:ind w:left="220" w:hanging="0"/>
      <w:jc w:val="left"/>
    </w:pPr>
    <w:rPr>
      <w:rFonts w:eastAsia="" w:eastAsiaTheme="minorEastAsia"/>
      <w:lang w:eastAsia="en-US"/>
    </w:rPr>
  </w:style>
  <w:style w:type="paragraph" w:styleId="Spistreci1">
    <w:name w:val="TOC 1"/>
    <w:basedOn w:val="Normal"/>
    <w:next w:val="Normal"/>
    <w:link w:val="Spistreci1Znak"/>
    <w:autoRedefine/>
    <w:uiPriority w:val="39"/>
    <w:unhideWhenUsed/>
    <w:qFormat/>
    <w:rsid w:val="0032526a"/>
    <w:pPr>
      <w:spacing w:before="0" w:after="100"/>
      <w:jc w:val="left"/>
    </w:pPr>
    <w:rPr>
      <w:rFonts w:eastAsia="" w:eastAsiaTheme="minorEastAsia"/>
      <w:lang w:eastAsia="en-US"/>
    </w:rPr>
  </w:style>
  <w:style w:type="paragraph" w:styleId="Spistreci3">
    <w:name w:val="TOC 3"/>
    <w:basedOn w:val="Normal"/>
    <w:next w:val="Normal"/>
    <w:autoRedefine/>
    <w:uiPriority w:val="39"/>
    <w:semiHidden/>
    <w:unhideWhenUsed/>
    <w:qFormat/>
    <w:rsid w:val="00da5a10"/>
    <w:pPr>
      <w:spacing w:before="0" w:after="100"/>
      <w:ind w:left="440" w:hanging="0"/>
      <w:jc w:val="left"/>
    </w:pPr>
    <w:rPr>
      <w:rFonts w:ascii="Calibri" w:hAnsi="Calibri" w:eastAsia="" w:asciiTheme="minorHAnsi" w:eastAsiaTheme="minorEastAsia" w:hAnsiTheme="minorHAnsi"/>
      <w:sz w:val="22"/>
      <w:lang w:eastAsia="en-US"/>
    </w:rPr>
  </w:style>
  <w:style w:type="paragraph" w:styleId="Revision">
    <w:name w:val="Revision"/>
    <w:uiPriority w:val="99"/>
    <w:semiHidden/>
    <w:qFormat/>
    <w:rsid w:val="00c60d86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Calibri" w:cs="" w:cstheme="minorBidi" w:eastAsiaTheme="minorHAnsi"/>
      <w:color w:val="auto"/>
      <w:kern w:val="0"/>
      <w:sz w:val="24"/>
      <w:szCs w:val="22"/>
      <w:lang w:val="pl-PL" w:eastAsia="pl-PL" w:bidi="ar-SA"/>
    </w:rPr>
  </w:style>
  <w:style w:type="paragraph" w:styleId="Default" w:customStyle="1">
    <w:name w:val="Default"/>
    <w:qFormat/>
    <w:rsid w:val="0059271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51747"/>
    <w:pPr>
      <w:spacing w:lineRule="auto" w:line="240" w:before="0" w:after="0"/>
    </w:pPr>
    <w:rPr>
      <w:sz w:val="20"/>
      <w:szCs w:val="20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c7291"/>
    <w:pPr>
      <w:spacing w:lineRule="auto" w:line="240" w:before="0" w:after="0"/>
    </w:pPr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>
      <w:rFonts w:cs="Times New Roman"/>
      <w:szCs w:val="20"/>
      <w:lang w:val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7">
    <w:name w:val="WW8Num7"/>
    <w:qFormat/>
  </w:style>
  <w:style w:type="numbering" w:styleId="WW8Num16">
    <w:name w:val="WW8Num16"/>
    <w:qFormat/>
  </w:style>
  <w:style w:type="numbering" w:styleId="WW8Num2">
    <w:name w:val="WW8Num2"/>
    <w:qFormat/>
  </w:style>
  <w:style w:type="numbering" w:styleId="WW8Num17">
    <w:name w:val="WW8Num1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337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siatki1jasna1">
    <w:name w:val="Tabela siatki 1 — jasna1"/>
    <w:basedOn w:val="Standardowy"/>
    <w:uiPriority w:val="46"/>
    <w:rsid w:val="00f84487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footnotes" Target="footnotes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922A8-CDF8-45F5-9759-D73F5B3F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LibreOffice/7.3.0.3$Windows_X86_64 LibreOffice_project/0f246aa12d0eee4a0f7adcefbf7c878fc2238db3</Application>
  <AppVersion>15.0000</AppVersion>
  <Pages>22</Pages>
  <Words>5795</Words>
  <Characters>38652</Characters>
  <CharactersWithSpaces>44360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2024-06-24T08:44:00Z</dcterms:created>
  <dc:creator>urszula.mroz</dc:creator>
  <dc:description/>
  <dc:language>pl-PL</dc:language>
  <cp:lastModifiedBy/>
  <cp:lastPrinted>2025-03-04T11:00:41Z</cp:lastPrinted>
  <dcterms:modified xsi:type="dcterms:W3CDTF">2025-03-11T10:28:21Z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