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jpeg" ContentType="image/jpeg"/>
  <Override PartName="/word/media/image3.png" ContentType="image/png"/>
  <Override PartName="/word/media/image4.jpeg" ContentType="image/jpeg"/>
  <Override PartName="/word/media/image5.jpeg" ContentType="image/jpeg"/>
  <Override PartName="/word/media/image6.jpeg" ContentType="image/jpe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header7.xml.rels" ContentType="application/vnd.openxmlformats-package.relationships+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4.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color w:val="365F91" w:themeColor="accent1" w:themeShade="bf"/>
          <w:sz w:val="28"/>
          <w:szCs w:val="28"/>
        </w:rPr>
      </w:pPr>
      <w:r>
        <w:rPr>
          <w:b/>
          <w:color w:val="365F91" w:themeColor="accent1" w:themeShade="bf"/>
          <w:sz w:val="28"/>
          <w:szCs w:val="28"/>
        </w:rPr>
      </w:r>
    </w:p>
    <w:p>
      <w:pPr>
        <w:pStyle w:val="Normal"/>
        <w:jc w:val="center"/>
        <w:rPr>
          <w:b/>
          <w:b/>
          <w:color w:val="365F91" w:themeColor="accent1" w:themeShade="bf"/>
          <w:sz w:val="28"/>
          <w:szCs w:val="28"/>
        </w:rPr>
      </w:pPr>
      <w:r>
        <w:rPr>
          <w:b/>
          <w:color w:val="365F91" w:themeColor="accent1" w:themeShade="bf"/>
          <w:sz w:val="28"/>
          <w:szCs w:val="28"/>
        </w:rPr>
      </w:r>
    </w:p>
    <w:p>
      <w:pPr>
        <w:pStyle w:val="Normal"/>
        <w:jc w:val="center"/>
        <w:rPr>
          <w:b/>
          <w:b/>
          <w:color w:val="365F91" w:themeColor="accent1" w:themeShade="bf"/>
          <w:sz w:val="28"/>
          <w:szCs w:val="28"/>
        </w:rPr>
      </w:pPr>
      <w:r>
        <w:rPr>
          <w:b/>
          <w:color w:val="365F91" w:themeColor="accent1" w:themeShade="bf"/>
          <w:sz w:val="28"/>
          <w:szCs w:val="28"/>
        </w:rPr>
      </w:r>
    </w:p>
    <w:p>
      <w:pPr>
        <w:pStyle w:val="Normal"/>
        <w:jc w:val="center"/>
        <w:rPr>
          <w:b/>
          <w:b/>
          <w:color w:val="365F91" w:themeColor="accent1" w:themeShade="bf"/>
          <w:sz w:val="28"/>
          <w:szCs w:val="28"/>
        </w:rPr>
      </w:pPr>
      <w:r>
        <w:rPr>
          <w:b/>
          <w:color w:val="365F91" w:themeColor="accent1" w:themeShade="bf"/>
          <w:sz w:val="28"/>
          <w:szCs w:val="28"/>
        </w:rPr>
      </w:r>
    </w:p>
    <w:p>
      <w:pPr>
        <w:pStyle w:val="Normal"/>
        <w:jc w:val="center"/>
        <w:rPr>
          <w:b/>
          <w:b/>
          <w:color w:val="365F91" w:themeColor="accent1" w:themeShade="bf"/>
          <w:sz w:val="28"/>
          <w:szCs w:val="28"/>
        </w:rPr>
      </w:pPr>
      <w:r>
        <w:rPr>
          <w:b/>
          <w:color w:val="365F91" w:themeColor="accent1" w:themeShade="bf"/>
          <w:sz w:val="28"/>
          <w:szCs w:val="28"/>
        </w:rPr>
      </w:r>
    </w:p>
    <w:p>
      <w:pPr>
        <w:pStyle w:val="Normal"/>
        <w:jc w:val="center"/>
        <w:rPr>
          <w:b/>
          <w:b/>
          <w:sz w:val="28"/>
          <w:szCs w:val="28"/>
        </w:rPr>
      </w:pPr>
      <w:r>
        <w:rPr>
          <w:b/>
          <w:sz w:val="28"/>
          <w:szCs w:val="28"/>
        </w:rPr>
        <w:t>Regulamin naboru wniosków i zasad realizacji projektu grantowego</w:t>
      </w:r>
    </w:p>
    <w:p>
      <w:pPr>
        <w:pStyle w:val="Normal"/>
        <w:spacing w:before="0" w:after="0"/>
        <w:jc w:val="center"/>
        <w:rPr>
          <w:b/>
          <w:b/>
        </w:rPr>
      </w:pPr>
      <w:r>
        <w:rPr>
          <w:b/>
        </w:rPr>
        <w:t>współfinansowanego w ramach</w:t>
      </w:r>
    </w:p>
    <w:p>
      <w:pPr>
        <w:pStyle w:val="Normal"/>
        <w:spacing w:before="0" w:after="0"/>
        <w:jc w:val="center"/>
        <w:rPr>
          <w:b/>
          <w:b/>
        </w:rPr>
      </w:pPr>
      <w:r>
        <w:rPr>
          <w:b/>
        </w:rPr>
        <w:t>Europejskiego Funduszu Społecznego Plus</w:t>
      </w:r>
    </w:p>
    <w:p>
      <w:pPr>
        <w:pStyle w:val="Normal"/>
        <w:spacing w:before="0" w:after="0"/>
        <w:jc w:val="center"/>
        <w:rPr>
          <w:b/>
          <w:b/>
        </w:rPr>
      </w:pPr>
      <w:r>
        <w:rPr>
          <w:b/>
        </w:rPr>
        <w:t>Fundusze Europejskie dla Lubuskie 2021-2027,</w:t>
      </w:r>
    </w:p>
    <w:p>
      <w:pPr>
        <w:pStyle w:val="Normal"/>
        <w:spacing w:before="0" w:after="0"/>
        <w:jc w:val="center"/>
        <w:rPr>
          <w:b/>
          <w:b/>
        </w:rPr>
      </w:pPr>
      <w:r>
        <w:rPr>
          <w:b/>
        </w:rPr>
      </w:r>
    </w:p>
    <w:p>
      <w:pPr>
        <w:pStyle w:val="Normal"/>
        <w:spacing w:before="0" w:after="0"/>
        <w:jc w:val="center"/>
        <w:rPr>
          <w:b/>
          <w:b/>
        </w:rPr>
      </w:pPr>
      <w:r>
        <w:rPr>
          <w:b/>
        </w:rPr>
        <w:t>Priorytet 7  Fundusze Europejskie na rozwój lokalny kierowany przez społeczność</w:t>
      </w:r>
    </w:p>
    <w:p>
      <w:pPr>
        <w:pStyle w:val="Normal"/>
        <w:spacing w:before="0" w:after="0"/>
        <w:jc w:val="center"/>
        <w:rPr>
          <w:b/>
          <w:b/>
        </w:rPr>
      </w:pPr>
      <w:r>
        <w:rPr>
          <w:b/>
        </w:rPr>
      </w:r>
    </w:p>
    <w:p>
      <w:pPr>
        <w:pStyle w:val="Normal"/>
        <w:spacing w:before="0" w:after="0"/>
        <w:jc w:val="center"/>
        <w:rPr>
          <w:b/>
          <w:b/>
        </w:rPr>
      </w:pPr>
      <w:r>
        <w:rPr>
          <w:b/>
        </w:rPr>
        <w:t>Działanie numer FELB.07.02 Lokalne kształcenie dorosłych</w:t>
      </w:r>
    </w:p>
    <w:p>
      <w:pPr>
        <w:pStyle w:val="Normal"/>
        <w:spacing w:before="0" w:after="0"/>
        <w:jc w:val="center"/>
        <w:rPr>
          <w:b/>
          <w:b/>
          <w:w w:val="85"/>
        </w:rPr>
      </w:pPr>
      <w:r>
        <w:rPr>
          <w:b/>
          <w:w w:val="85"/>
        </w:rPr>
      </w:r>
    </w:p>
    <w:p>
      <w:pPr>
        <w:pStyle w:val="Normal"/>
        <w:spacing w:before="0" w:after="0"/>
        <w:jc w:val="center"/>
        <w:rPr>
          <w:b/>
          <w:b/>
        </w:rPr>
      </w:pPr>
      <w:r>
        <w:rPr>
          <w:b/>
        </w:rPr>
      </w:r>
    </w:p>
    <w:p>
      <w:pPr>
        <w:pStyle w:val="Normal"/>
        <w:spacing w:before="0" w:after="0"/>
        <w:jc w:val="center"/>
        <w:rPr>
          <w:b/>
          <w:b/>
        </w:rPr>
      </w:pPr>
      <w:r>
        <w:rPr>
          <w:b/>
        </w:rPr>
        <w:t>dla celu C.2.(g) Wspieranie uczenia się przez całe życie, w szczególności elastycznych możliwości podnoszenia i zmiany kwalifikacji dla wszystkich, z uwzględnieniem umiejętności</w:t>
      </w:r>
    </w:p>
    <w:p>
      <w:pPr>
        <w:pStyle w:val="Normal"/>
        <w:spacing w:before="0" w:after="0"/>
        <w:jc w:val="center"/>
        <w:rPr>
          <w:b/>
          <w:b/>
        </w:rPr>
      </w:pPr>
      <w:r>
        <w:rPr>
          <w:b/>
        </w:rPr>
        <w:t>w zakresie przedsiębiorczości i kompetencji cyfrowych, lepsze przewidywanie zmian</w:t>
      </w:r>
    </w:p>
    <w:p>
      <w:pPr>
        <w:pStyle w:val="Normal"/>
        <w:spacing w:before="0" w:after="0"/>
        <w:jc w:val="center"/>
        <w:rPr>
          <w:b/>
          <w:b/>
        </w:rPr>
      </w:pPr>
      <w:r>
        <w:rPr>
          <w:b/>
        </w:rPr>
        <w:t>i zapotrzebowania na nowe umiejętności na podstawie potrzeb rynku pracy, ułatwienie zmian ścieżki kariery zawodowej i wspieranie mobilności zawodowej</w:t>
      </w:r>
    </w:p>
    <w:p>
      <w:pPr>
        <w:pStyle w:val="Normal"/>
        <w:rPr/>
      </w:pPr>
      <w:r>
        <w:rPr/>
      </w:r>
    </w:p>
    <w:p>
      <w:pPr>
        <w:pStyle w:val="Normal"/>
        <w:jc w:val="center"/>
        <w:rPr/>
      </w:pPr>
      <w:r>
        <w:rPr/>
      </w:r>
    </w:p>
    <w:p>
      <w:pPr>
        <w:pStyle w:val="Normal"/>
        <w:rPr/>
      </w:pPr>
      <w:r>
        <w:rPr/>
        <w:t xml:space="preserve">                                              </w:t>
      </w:r>
      <w:r>
        <w:rPr/>
        <w:drawing>
          <wp:inline distT="0" distB="0" distL="0" distR="0">
            <wp:extent cx="2256155" cy="217995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2"/>
                    <a:stretch>
                      <a:fillRect/>
                    </a:stretch>
                  </pic:blipFill>
                  <pic:spPr bwMode="auto">
                    <a:xfrm>
                      <a:off x="0" y="0"/>
                      <a:ext cx="2256155" cy="2179955"/>
                    </a:xfrm>
                    <a:prstGeom prst="rect">
                      <a:avLst/>
                    </a:prstGeom>
                  </pic:spPr>
                </pic:pic>
              </a:graphicData>
            </a:graphic>
          </wp:inline>
        </w:drawing>
      </w:r>
      <w:r>
        <w:rPr/>
        <w:t xml:space="preserve">        </w:t>
      </w:r>
    </w:p>
    <w:p>
      <w:pPr>
        <w:pStyle w:val="Normal"/>
        <w:rPr/>
      </w:pPr>
      <w:r>
        <w:rPr/>
      </w:r>
    </w:p>
    <w:p>
      <w:pPr>
        <w:pStyle w:val="Normal"/>
        <w:rPr/>
      </w:pPr>
      <w:r>
        <w:rPr/>
      </w:r>
    </w:p>
    <w:sdt>
      <w:sdtPr>
        <w:docPartObj>
          <w:docPartGallery w:val="Table of Contents"/>
          <w:docPartUnique w:val="true"/>
        </w:docPartObj>
      </w:sdtPr>
      <w:sdtContent>
        <w:p>
          <w:pPr>
            <w:pStyle w:val="Nagwekspisutreci"/>
            <w:spacing w:lineRule="auto" w:line="360"/>
            <w:rPr>
              <w:rFonts w:ascii="Arial Narrow" w:hAnsi="Arial Narrow" w:cs="Arial"/>
            </w:rPr>
          </w:pPr>
          <w:r>
            <w:rPr>
              <w:rStyle w:val="Nagwek1Znak"/>
              <w:rFonts w:cs="Arial"/>
              <w:b/>
              <w:color w:val="auto"/>
            </w:rPr>
            <w:t>SPIS TREŚCI</w:t>
          </w:r>
        </w:p>
        <w:p>
          <w:pPr>
            <w:pStyle w:val="Spistreci1"/>
            <w:tabs>
              <w:tab w:val="clear" w:pos="708"/>
              <w:tab w:val="right" w:pos="9060" w:leader="dot"/>
            </w:tabs>
            <w:rPr>
              <w:rFonts w:ascii="Calibri" w:hAnsi="Calibri" w:eastAsia="" w:asciiTheme="minorHAnsi" w:eastAsiaTheme="minorEastAsia" w:hAnsiTheme="minorHAnsi"/>
              <w:sz w:val="22"/>
            </w:rPr>
          </w:pPr>
          <w:r>
            <w:fldChar w:fldCharType="begin"/>
          </w:r>
          <w:r>
            <w:rPr>
              <w:webHidden/>
              <w:rStyle w:val="Czeindeksu"/>
              <w:vanish w:val="false"/>
            </w:rPr>
            <w:instrText xml:space="preserve"> TOC \z \o "1-3" \u \h</w:instrText>
          </w:r>
          <w:r>
            <w:rPr>
              <w:webHidden/>
              <w:rStyle w:val="Czeindeksu"/>
              <w:vanish w:val="false"/>
            </w:rPr>
            <w:fldChar w:fldCharType="separate"/>
          </w:r>
          <w:hyperlink w:anchor="_Toc163484295">
            <w:r>
              <w:rPr>
                <w:webHidden/>
              </w:rPr>
              <w:fldChar w:fldCharType="begin"/>
            </w:r>
            <w:r>
              <w:rPr>
                <w:webHidden/>
              </w:rPr>
              <w:instrText xml:space="preserve">PAGEREF _Toc163484295 \h</w:instrText>
            </w:r>
            <w:r>
              <w:rPr>
                <w:webHidden/>
              </w:rPr>
              <w:fldChar w:fldCharType="separate"/>
            </w:r>
            <w:r>
              <w:rPr>
                <w:webHidden/>
                <w:rStyle w:val="Czeindeksu"/>
                <w:vanish w:val="false"/>
              </w:rPr>
              <w:t>Rozdział I INFORMACJE PODSTAWOWE</w:t>
              <w:tab/>
              <w:t>3</w:t>
            </w:r>
            <w:r>
              <w:rPr>
                <w:webHidden/>
              </w:rPr>
              <w:fldChar w:fldCharType="end"/>
            </w:r>
          </w:hyperlink>
        </w:p>
        <w:p>
          <w:pPr>
            <w:pStyle w:val="Spistreci1"/>
            <w:tabs>
              <w:tab w:val="clear" w:pos="708"/>
              <w:tab w:val="right" w:pos="9060" w:leader="dot"/>
            </w:tabs>
            <w:rPr>
              <w:rFonts w:ascii="Calibri" w:hAnsi="Calibri" w:eastAsia="" w:asciiTheme="minorHAnsi" w:eastAsiaTheme="minorEastAsia" w:hAnsiTheme="minorHAnsi"/>
              <w:sz w:val="22"/>
            </w:rPr>
          </w:pPr>
          <w:hyperlink w:anchor="_Toc163484296">
            <w:r>
              <w:rPr>
                <w:webHidden/>
                <w:rStyle w:val="Czeindeksu"/>
                <w:vanish w:val="false"/>
              </w:rPr>
              <w:t>Rozdział II WYKAZ AKTÓW PRAWNYCH</w:t>
              <w:tab/>
            </w:r>
          </w:hyperlink>
          <w:r>
            <w:rPr/>
            <w:t>4</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297">
            <w:r>
              <w:rPr>
                <w:webHidden/>
              </w:rPr>
              <w:fldChar w:fldCharType="begin"/>
            </w:r>
            <w:r>
              <w:rPr>
                <w:webHidden/>
              </w:rPr>
              <w:instrText xml:space="preserve">PAGEREF _Toc163484297 \h</w:instrText>
            </w:r>
            <w:r>
              <w:rPr>
                <w:webHidden/>
              </w:rPr>
              <w:fldChar w:fldCharType="separate"/>
            </w:r>
            <w:r>
              <w:rPr>
                <w:webHidden/>
                <w:rStyle w:val="Czeindeksu"/>
                <w:vanish w:val="false"/>
              </w:rPr>
              <w:t>Rozdział III SŁOWNICZEK I WYKAZ SKRÓTÓW</w:t>
              <w:tab/>
              <w:t>4</w:t>
            </w:r>
            <w:r>
              <w:rPr>
                <w:webHidden/>
              </w:rPr>
              <w:fldChar w:fldCharType="end"/>
            </w:r>
          </w:hyperlink>
        </w:p>
        <w:p>
          <w:pPr>
            <w:pStyle w:val="Spistreci1"/>
            <w:tabs>
              <w:tab w:val="clear" w:pos="708"/>
              <w:tab w:val="right" w:pos="9060" w:leader="dot"/>
            </w:tabs>
            <w:rPr>
              <w:rFonts w:ascii="Calibri" w:hAnsi="Calibri" w:eastAsia="" w:asciiTheme="minorHAnsi" w:eastAsiaTheme="minorEastAsia" w:hAnsiTheme="minorHAnsi"/>
              <w:sz w:val="22"/>
            </w:rPr>
          </w:pPr>
          <w:hyperlink w:anchor="_Toc163484298">
            <w:r>
              <w:rPr>
                <w:webHidden/>
              </w:rPr>
              <w:fldChar w:fldCharType="begin"/>
            </w:r>
            <w:r>
              <w:rPr>
                <w:webHidden/>
              </w:rPr>
              <w:instrText xml:space="preserve">PAGEREF _Toc163484298 \h</w:instrText>
            </w:r>
            <w:r>
              <w:rPr>
                <w:webHidden/>
              </w:rPr>
              <w:fldChar w:fldCharType="separate"/>
            </w:r>
            <w:r>
              <w:rPr>
                <w:webHidden/>
                <w:rStyle w:val="Czeindeksu"/>
                <w:vanish w:val="false"/>
              </w:rPr>
              <w:t>Rozdział IV CEL POWIERZENIA GRANTÓW, ZAKRES ZADAŃ MOŻLIWYCH DO REALIZACJI ORAZ GRUPA DOCELOWA</w:t>
              <w:tab/>
              <w:t>5</w:t>
            </w:r>
            <w:r>
              <w:rPr>
                <w:webHidden/>
              </w:rPr>
              <w:fldChar w:fldCharType="end"/>
            </w:r>
          </w:hyperlink>
        </w:p>
        <w:p>
          <w:pPr>
            <w:pStyle w:val="Spistreci1"/>
            <w:tabs>
              <w:tab w:val="clear" w:pos="708"/>
              <w:tab w:val="right" w:pos="9060" w:leader="dot"/>
            </w:tabs>
            <w:rPr>
              <w:rFonts w:ascii="Calibri" w:hAnsi="Calibri" w:eastAsia="" w:asciiTheme="minorHAnsi" w:eastAsiaTheme="minorEastAsia" w:hAnsiTheme="minorHAnsi"/>
              <w:sz w:val="22"/>
            </w:rPr>
          </w:pPr>
          <w:hyperlink w:anchor="_Toc163484299">
            <w:r>
              <w:rPr>
                <w:webHidden/>
              </w:rPr>
              <w:fldChar w:fldCharType="begin"/>
            </w:r>
            <w:r>
              <w:rPr>
                <w:webHidden/>
              </w:rPr>
              <w:instrText xml:space="preserve">PAGEREF _Toc163484299 \h</w:instrText>
            </w:r>
            <w:r>
              <w:rPr>
                <w:webHidden/>
              </w:rPr>
              <w:fldChar w:fldCharType="separate"/>
            </w:r>
            <w:r>
              <w:rPr>
                <w:webHidden/>
                <w:rStyle w:val="Czeindeksu"/>
                <w:vanish w:val="false"/>
              </w:rPr>
              <w:t>Rozdział V PODMIOTY UPRAWNIONE DO UBIEGANIA SIĘ O GRANT</w:t>
              <w:tab/>
              <w:t>6</w:t>
            </w:r>
            <w:r>
              <w:rPr>
                <w:webHidden/>
              </w:rPr>
              <w:fldChar w:fldCharType="end"/>
            </w:r>
          </w:hyperlink>
        </w:p>
        <w:p>
          <w:pPr>
            <w:pStyle w:val="Spistreci1"/>
            <w:tabs>
              <w:tab w:val="clear" w:pos="708"/>
              <w:tab w:val="right" w:pos="9060" w:leader="dot"/>
            </w:tabs>
            <w:rPr>
              <w:rFonts w:ascii="Calibri" w:hAnsi="Calibri" w:eastAsia="" w:asciiTheme="minorHAnsi" w:eastAsiaTheme="minorEastAsia" w:hAnsiTheme="minorHAnsi"/>
              <w:sz w:val="22"/>
            </w:rPr>
          </w:pPr>
          <w:hyperlink w:anchor="_Toc163484300">
            <w:r>
              <w:rPr>
                <w:webHidden/>
              </w:rPr>
              <w:fldChar w:fldCharType="begin"/>
            </w:r>
            <w:r>
              <w:rPr>
                <w:webHidden/>
              </w:rPr>
              <w:instrText xml:space="preserve">PAGEREF _Toc163484300 \h</w:instrText>
            </w:r>
            <w:r>
              <w:rPr>
                <w:webHidden/>
              </w:rPr>
              <w:fldChar w:fldCharType="separate"/>
            </w:r>
            <w:r>
              <w:rPr>
                <w:webHidden/>
                <w:rStyle w:val="Czeindeksu"/>
                <w:vanish w:val="false"/>
              </w:rPr>
              <w:t>Rozdział VI ZAKRESY WSPARCIA NA WDRAŻANIE LSR, KTÓRYCH DOTYCZY NABÓR WNIOSKÓW</w:t>
              <w:tab/>
              <w:t>7</w:t>
            </w:r>
            <w:r>
              <w:rPr>
                <w:webHidden/>
              </w:rPr>
              <w:fldChar w:fldCharType="end"/>
            </w:r>
          </w:hyperlink>
        </w:p>
        <w:p>
          <w:pPr>
            <w:pStyle w:val="Spistreci1"/>
            <w:tabs>
              <w:tab w:val="clear" w:pos="708"/>
              <w:tab w:val="right" w:pos="9060" w:leader="dot"/>
            </w:tabs>
            <w:rPr>
              <w:rFonts w:ascii="Calibri" w:hAnsi="Calibri" w:eastAsia="" w:asciiTheme="minorHAnsi" w:eastAsiaTheme="minorEastAsia" w:hAnsiTheme="minorHAnsi"/>
              <w:sz w:val="22"/>
            </w:rPr>
          </w:pPr>
          <w:hyperlink w:anchor="_Toc163484301">
            <w:r>
              <w:rPr>
                <w:webHidden/>
              </w:rPr>
              <w:fldChar w:fldCharType="begin"/>
            </w:r>
            <w:r>
              <w:rPr>
                <w:webHidden/>
              </w:rPr>
              <w:instrText xml:space="preserve">PAGEREF _Toc163484301 \h</w:instrText>
            </w:r>
            <w:r>
              <w:rPr>
                <w:webHidden/>
              </w:rPr>
              <w:fldChar w:fldCharType="separate"/>
            </w:r>
            <w:r>
              <w:rPr>
                <w:webHidden/>
                <w:rStyle w:val="Czeindeksu"/>
                <w:vanish w:val="false"/>
              </w:rPr>
              <w:t>Rozdział VII ALOKACJA, SPOSÓB SZACOWANIA GRANTU I FORMA FINANSOWANIA</w:t>
              <w:tab/>
              <w:t>8</w:t>
            </w:r>
            <w:r>
              <w:rPr>
                <w:webHidden/>
              </w:rPr>
              <w:fldChar w:fldCharType="end"/>
            </w:r>
          </w:hyperlink>
        </w:p>
        <w:p>
          <w:pPr>
            <w:pStyle w:val="Spistreci2"/>
            <w:tabs>
              <w:tab w:val="clear" w:pos="708"/>
              <w:tab w:val="right" w:pos="9060" w:leader="dot"/>
            </w:tabs>
            <w:rPr>
              <w:rFonts w:ascii="Calibri" w:hAnsi="Calibri" w:eastAsia="" w:asciiTheme="minorHAnsi" w:eastAsiaTheme="minorEastAsia" w:hAnsiTheme="minorHAnsi"/>
              <w:sz w:val="22"/>
            </w:rPr>
          </w:pPr>
          <w:hyperlink w:anchor="_Toc163484302">
            <w:r>
              <w:rPr>
                <w:webHidden/>
              </w:rPr>
              <w:fldChar w:fldCharType="begin"/>
            </w:r>
            <w:r>
              <w:rPr>
                <w:webHidden/>
              </w:rPr>
              <w:instrText xml:space="preserve">PAGEREF _Toc163484302 \h</w:instrText>
            </w:r>
            <w:r>
              <w:rPr>
                <w:webHidden/>
              </w:rPr>
              <w:fldChar w:fldCharType="separate"/>
            </w:r>
            <w:r>
              <w:rPr>
                <w:webHidden/>
                <w:rStyle w:val="Czeindeksu"/>
                <w:vanish w:val="false"/>
              </w:rPr>
              <w:t>1. Limity środków przeznaczonych na udzielenie wsparcia w ramach projektu grantowego</w:t>
              <w:tab/>
              <w:t>8</w:t>
            </w:r>
            <w:r>
              <w:rPr>
                <w:webHidden/>
              </w:rPr>
              <w:fldChar w:fldCharType="end"/>
            </w:r>
          </w:hyperlink>
        </w:p>
        <w:p>
          <w:pPr>
            <w:pStyle w:val="Spistreci2"/>
            <w:tabs>
              <w:tab w:val="clear" w:pos="708"/>
              <w:tab w:val="right" w:pos="9060" w:leader="dot"/>
            </w:tabs>
            <w:rPr>
              <w:rFonts w:ascii="Calibri" w:hAnsi="Calibri" w:eastAsia="" w:asciiTheme="minorHAnsi" w:eastAsiaTheme="minorEastAsia" w:hAnsiTheme="minorHAnsi"/>
              <w:sz w:val="22"/>
            </w:rPr>
          </w:pPr>
          <w:hyperlink w:anchor="_Toc163484303">
            <w:r>
              <w:rPr>
                <w:webHidden/>
                <w:rStyle w:val="Czeindeksu"/>
                <w:vanish w:val="false"/>
              </w:rPr>
              <w:t>2. Sposób szacowania wysokości grantów</w:t>
            </w:r>
          </w:hyperlink>
          <w:r>
            <w:rPr>
              <w:vanish w:val="false"/>
            </w:rPr>
            <w:t xml:space="preserve">                                                                                          10</w:t>
          </w:r>
        </w:p>
        <w:p>
          <w:pPr>
            <w:pStyle w:val="Spistreci2"/>
            <w:tabs>
              <w:tab w:val="clear" w:pos="708"/>
              <w:tab w:val="right" w:pos="9060" w:leader="dot"/>
            </w:tabs>
            <w:rPr>
              <w:rFonts w:ascii="Calibri" w:hAnsi="Calibri" w:eastAsia="" w:asciiTheme="minorHAnsi" w:eastAsiaTheme="minorEastAsia" w:hAnsiTheme="minorHAnsi"/>
              <w:sz w:val="22"/>
            </w:rPr>
          </w:pPr>
          <w:hyperlink w:anchor="_Toc163484304">
            <w:r>
              <w:rPr>
                <w:webHidden/>
                <w:rStyle w:val="Czeindeksu"/>
                <w:vanish w:val="false"/>
              </w:rPr>
              <w:t>3. Forma w</w:t>
            </w:r>
            <w:r>
              <w:rPr>
                <w:rStyle w:val="Czeindeksu"/>
                <w:vanish w:val="false"/>
                <w:sz w:val="24"/>
                <w:szCs w:val="24"/>
              </w:rPr>
              <w:t>sparcia</w:t>
            </w:r>
          </w:hyperlink>
          <w:r>
            <w:rPr>
              <w:vanish w:val="false"/>
              <w:sz w:val="24"/>
              <w:szCs w:val="24"/>
            </w:rPr>
            <w:t xml:space="preserve">                                                                                                                               11</w:t>
          </w:r>
        </w:p>
        <w:p>
          <w:pPr>
            <w:pStyle w:val="Normal"/>
            <w:tabs>
              <w:tab w:val="clear" w:pos="708"/>
              <w:tab w:val="right" w:pos="9060" w:leader="dot"/>
            </w:tabs>
            <w:rPr>
              <w:rFonts w:ascii="Arial Narrow" w:hAnsi="Arial Narrow"/>
              <w:sz w:val="24"/>
              <w:szCs w:val="24"/>
            </w:rPr>
          </w:pPr>
          <w:r>
            <w:rPr>
              <w:rFonts w:eastAsia="" w:eastAsiaTheme="minorEastAsia"/>
              <w:vanish w:val="false"/>
              <w:sz w:val="24"/>
              <w:szCs w:val="24"/>
            </w:rPr>
            <w:t xml:space="preserve">     </w:t>
          </w:r>
          <w:r>
            <w:rPr>
              <w:rFonts w:eastAsia="" w:eastAsiaTheme="minorEastAsia"/>
              <w:vanish w:val="false"/>
              <w:sz w:val="24"/>
              <w:szCs w:val="24"/>
            </w:rPr>
            <w:t>4. Zasady wypłacania grantów………………………………………………………………………………11</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05">
            <w:r>
              <w:rPr>
                <w:webHidden/>
                <w:rStyle w:val="Czeindeksu"/>
                <w:vanish w:val="false"/>
              </w:rPr>
              <w:t>Rozdział VIII WARUNKI UDZIELENIA WSPARCIA NA REALIZACJĘ PROJEKTU OBJĘTEGO GRANTEM</w:t>
              <w:tab/>
              <w:t>1</w:t>
            </w:r>
          </w:hyperlink>
          <w:r>
            <w:rPr>
              <w:vanish w:val="false"/>
            </w:rPr>
            <w:t>2</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06">
            <w:r>
              <w:rPr>
                <w:webHidden/>
                <w:rStyle w:val="Czeindeksu"/>
                <w:vanish w:val="false"/>
              </w:rPr>
              <w:t>Rozdział IX WYBÓR, OCENA, SPOSÓB ROZLICZANIA GRANTÓW</w:t>
              <w:tab/>
              <w:t>1</w:t>
            </w:r>
          </w:hyperlink>
          <w:r>
            <w:rPr>
              <w:vanish w:val="false"/>
            </w:rPr>
            <w:t>3</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07">
            <w:r>
              <w:rPr>
                <w:webHidden/>
                <w:rStyle w:val="Czeindeksu"/>
                <w:vanish w:val="false"/>
              </w:rPr>
              <w:t>Rozdział X KOSZTY KWALIFIKOWALNE I NIEKWALIFIKOWALNE</w:t>
              <w:tab/>
              <w:t>1</w:t>
            </w:r>
          </w:hyperlink>
          <w:r>
            <w:rPr>
              <w:vanish w:val="false"/>
            </w:rPr>
            <w:t>5</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08">
            <w:r>
              <w:rPr>
                <w:webHidden/>
                <w:rStyle w:val="Czeindeksu"/>
                <w:vanish w:val="false"/>
              </w:rPr>
              <w:t>Rozdział XI WSKAŹNIKI DO OSIĄGNIĘCIA W RAMACH REALIZACJI PROJEKTU OBJĘTEGO GRANTEM</w:t>
              <w:tab/>
              <w:t>1</w:t>
            </w:r>
          </w:hyperlink>
          <w:r>
            <w:rPr>
              <w:vanish w:val="false"/>
            </w:rPr>
            <w:t>7</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09">
            <w:r>
              <w:rPr>
                <w:webHidden/>
                <w:rStyle w:val="Czeindeksu"/>
                <w:vanish w:val="false"/>
              </w:rPr>
              <w:t>Rozdział XII TERMIN, SPOSÓB I FORMA SKŁADANIA WNIOSKÓW</w:t>
              <w:tab/>
              <w:t>2</w:t>
            </w:r>
          </w:hyperlink>
          <w:r>
            <w:rPr>
              <w:vanish w:val="false"/>
            </w:rPr>
            <w:t>3</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10">
            <w:r>
              <w:rPr>
                <w:webHidden/>
                <w:rStyle w:val="Czeindeksu"/>
                <w:vanish w:val="false"/>
              </w:rPr>
              <w:t>Rozdział XIII PODSTAWOWE OBOWIĄZKI GRANTOBIORCY</w:t>
              <w:tab/>
              <w:t>2</w:t>
            </w:r>
          </w:hyperlink>
          <w:r>
            <w:rPr>
              <w:vanish w:val="false"/>
            </w:rPr>
            <w:t>3</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11">
            <w:r>
              <w:rPr>
                <w:webHidden/>
                <w:rStyle w:val="Czeindeksu"/>
                <w:vanish w:val="false"/>
              </w:rPr>
              <w:t>Rozdział XIV SPOSÓB ROZLICZANIA GRANTÓW, MONITOROWANIE I KONTROLA</w:t>
              <w:tab/>
              <w:t>2</w:t>
            </w:r>
          </w:hyperlink>
          <w:r>
            <w:rPr>
              <w:vanish w:val="false"/>
            </w:rPr>
            <w:t>4</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12">
            <w:r>
              <w:rPr>
                <w:webHidden/>
                <w:rStyle w:val="Czeindeksu"/>
                <w:vanish w:val="false"/>
              </w:rPr>
              <w:t>Rozdział XV POSTANOWIENIA KOŃCOWE</w:t>
              <w:tab/>
              <w:t>2</w:t>
            </w:r>
          </w:hyperlink>
          <w:r>
            <w:rPr>
              <w:vanish w:val="false"/>
            </w:rPr>
            <w:t>5</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13">
            <w:r>
              <w:rPr>
                <w:webHidden/>
                <w:rStyle w:val="Czeindeksu"/>
                <w:vanish w:val="false"/>
              </w:rPr>
              <w:t>Rozdział XVI DODATKOWE INFORMACJE NA TEMAT NABORU</w:t>
              <w:tab/>
              <w:t>2</w:t>
            </w:r>
          </w:hyperlink>
          <w:r>
            <w:rPr>
              <w:vanish w:val="false"/>
            </w:rPr>
            <w:t>5</w:t>
          </w:r>
        </w:p>
        <w:p>
          <w:pPr>
            <w:pStyle w:val="Spistreci1"/>
            <w:tabs>
              <w:tab w:val="clear" w:pos="708"/>
              <w:tab w:val="right" w:pos="9060" w:leader="dot"/>
            </w:tabs>
            <w:rPr>
              <w:rFonts w:ascii="Calibri" w:hAnsi="Calibri" w:eastAsia="" w:asciiTheme="minorHAnsi" w:eastAsiaTheme="minorEastAsia" w:hAnsiTheme="minorHAnsi"/>
              <w:sz w:val="22"/>
            </w:rPr>
          </w:pPr>
          <w:hyperlink w:anchor="_Toc163484314">
            <w:r>
              <w:rPr>
                <w:webHidden/>
                <w:rStyle w:val="Czeindeksu"/>
                <w:vanish w:val="false"/>
              </w:rPr>
              <w:t>Załączniki do Regulaminu</w:t>
              <w:tab/>
              <w:t>2</w:t>
            </w:r>
          </w:hyperlink>
          <w:r>
            <w:rPr>
              <w:vanish w:val="false"/>
            </w:rPr>
            <w:t>5</w:t>
          </w:r>
        </w:p>
        <w:p>
          <w:pPr>
            <w:pStyle w:val="Normal"/>
            <w:rPr/>
          </w:pPr>
          <w:r>
            <w:rPr/>
          </w:r>
          <w:r>
            <w:rPr/>
            <w:fldChar w:fldCharType="end"/>
          </w:r>
        </w:p>
      </w:sdtContent>
    </w:sdt>
    <w:p>
      <w:pPr>
        <w:pStyle w:val="Normal"/>
        <w:rPr/>
      </w:pPr>
      <w:r>
        <w:rPr/>
      </w:r>
    </w:p>
    <w:p>
      <w:pPr>
        <w:pStyle w:val="Normal"/>
        <w:rPr/>
      </w:pPr>
      <w:r>
        <w:rPr/>
      </w:r>
    </w:p>
    <w:p>
      <w:pPr>
        <w:pStyle w:val="Normal"/>
        <w:rPr/>
      </w:pPr>
      <w:r>
        <w:rPr/>
      </w:r>
    </w:p>
    <w:p>
      <w:pPr>
        <w:pStyle w:val="Normal"/>
        <w:tabs>
          <w:tab w:val="clear" w:pos="708"/>
          <w:tab w:val="left" w:pos="6762" w:leader="none"/>
        </w:tabs>
        <w:rPr/>
      </w:pPr>
      <w:r>
        <w:rPr/>
        <w:tab/>
      </w:r>
    </w:p>
    <w:p>
      <w:pPr>
        <w:pStyle w:val="Normal"/>
        <w:rPr/>
      </w:pPr>
      <w:r>
        <w:rPr/>
      </w:r>
    </w:p>
    <w:p>
      <w:pPr>
        <w:pStyle w:val="Nagwek11"/>
        <w:jc w:val="left"/>
        <w:rPr/>
      </w:pPr>
      <w:bookmarkStart w:id="0" w:name="_Toc163484295"/>
      <w:bookmarkStart w:id="1" w:name="_Toc162422607"/>
      <w:r>
        <w:rPr/>
        <w:t>Rozdział I INFORMACJE PODSTAWOWE</w:t>
      </w:r>
      <w:bookmarkEnd w:id="0"/>
      <w:bookmarkEnd w:id="1"/>
    </w:p>
    <w:p>
      <w:pPr>
        <w:pStyle w:val="ListParagraph"/>
        <w:numPr>
          <w:ilvl w:val="0"/>
          <w:numId w:val="13"/>
        </w:numPr>
        <w:jc w:val="left"/>
        <w:rPr/>
      </w:pPr>
      <w:r>
        <w:rPr>
          <w:szCs w:val="24"/>
        </w:rPr>
        <w:t>Regulamin w szczególności określa cel i zakres konkursu, zasady jego organizacji, warunki uczestnictwa, sposób wyboru projektów, wzory dokumentów niezbędnych do ubiegania się o powierzenie grantu i jego rozliczenie oraz pozostałe informacje niezbędne podczas przygotowywania wniosków o powierzenie grantu na realizację grantu w ramach Europejskiego Funduszu Społecznego Plus Fundusze Europejskie dla Lubuskie 2021-2027 - Priorytet 7 Fundusze Europejskie na rozwój lokalny kierowany przez społeczność, Działanie numer FELB.07.02 Lokalne kształcenie dorosłych dla celu szczegółowego (g)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pPr>
        <w:pStyle w:val="ListParagraph"/>
        <w:jc w:val="left"/>
        <w:rPr/>
      </w:pPr>
      <w:r>
        <w:rPr/>
      </w:r>
    </w:p>
    <w:p>
      <w:pPr>
        <w:pStyle w:val="ListParagraph"/>
        <w:numPr>
          <w:ilvl w:val="0"/>
          <w:numId w:val="13"/>
        </w:numPr>
        <w:jc w:val="left"/>
        <w:rPr/>
      </w:pPr>
      <w:r>
        <w:rPr/>
        <w:t xml:space="preserve">Niniejszy konkurs organizowany jest przez Stowarzyszenie – Lokalna Grupę Działania Bory Dolnośląskie w oparciu o kryteria wyboru operacji określone w Załączniku nr 2 (Szczegółowy opis kryteriów wyboru projektów grantowych realizowanych ze środków EFS+) do Procedury wyboru i oceny grantobiorców w ramach projektów grantowych wraz z opisem sposobu rozliczania grantów,  monitorowania i kontroli, współfinansowanego w ramach Europejskiego Funduszu Społecznego Plus Fundusze Europejskie dla Lubuskiego 2021-2027. Wsparcie w ramach niniejszego działania/przedsięwzięcia musi spełniać warunki określone dla </w:t>
      </w:r>
      <w:r>
        <w:rPr>
          <w:color w:val="000000"/>
        </w:rPr>
        <w:t>Prze</w:t>
      </w:r>
      <w:r>
        <w:rPr>
          <w:color w:val="000000"/>
          <w:szCs w:val="24"/>
        </w:rPr>
        <w:t>dsięwzięcie</w:t>
      </w:r>
      <w:r>
        <w:rPr>
          <w:rFonts w:eastAsia="Calibri" w:cs="Times New Roman"/>
          <w:color w:val="000000"/>
          <w:szCs w:val="24"/>
        </w:rPr>
        <w:t xml:space="preserve"> P.2.2.. - Wsparcie lokalnych inicjatyw na rzecz kształcenia osób dorosłych</w:t>
      </w:r>
      <w:bookmarkStart w:id="2" w:name="_Hlk1351354931"/>
      <w:r>
        <w:rPr>
          <w:rFonts w:eastAsia="Calibri" w:cs="Times New Roman"/>
          <w:color w:val="000000"/>
          <w:szCs w:val="24"/>
        </w:rPr>
        <w:t>.</w:t>
      </w:r>
      <w:bookmarkStart w:id="3" w:name="_Hlk135135493"/>
    </w:p>
    <w:p>
      <w:pPr>
        <w:pStyle w:val="ListParagraph"/>
        <w:jc w:val="left"/>
        <w:rPr/>
      </w:pPr>
      <w:r>
        <w:rPr/>
      </w:r>
    </w:p>
    <w:p>
      <w:pPr>
        <w:pStyle w:val="ListParagraph"/>
        <w:numPr>
          <w:ilvl w:val="0"/>
          <w:numId w:val="13"/>
        </w:numPr>
        <w:jc w:val="left"/>
        <w:rPr/>
      </w:pPr>
      <w:r>
        <w:rPr/>
        <w:t xml:space="preserve">Niniejszy Regulamin określa warunki naboru, zasady uczestnictwa w projekcie grantowym </w:t>
      </w:r>
      <w:r>
        <w:rPr>
          <w:b/>
          <w:bCs/>
        </w:rPr>
        <w:t xml:space="preserve">FELB.07.02-IZ.00-001/24 Edukacja w Borach Dolnośląskich </w:t>
      </w:r>
      <w:r>
        <w:rPr/>
        <w:t>oraz wzory dokumentów niezbędnych do ubiegania się o powierzenie Grantu i jego rozliczenie.</w:t>
      </w:r>
    </w:p>
    <w:p>
      <w:pPr>
        <w:pStyle w:val="ListParagraph"/>
        <w:jc w:val="left"/>
        <w:rPr/>
      </w:pPr>
      <w:r>
        <w:rPr/>
      </w:r>
    </w:p>
    <w:p>
      <w:pPr>
        <w:pStyle w:val="ListParagraph"/>
        <w:numPr>
          <w:ilvl w:val="0"/>
          <w:numId w:val="13"/>
        </w:numPr>
        <w:jc w:val="left"/>
        <w:rPr/>
      </w:pPr>
      <w:r>
        <w:rPr>
          <w:szCs w:val="24"/>
        </w:rPr>
        <w:t>Nabór prowadzony jest w sposób konkursowy.</w:t>
      </w:r>
    </w:p>
    <w:p>
      <w:pPr>
        <w:pStyle w:val="ListParagraph"/>
        <w:jc w:val="left"/>
        <w:rPr/>
      </w:pPr>
      <w:r>
        <w:rPr/>
      </w:r>
    </w:p>
    <w:p>
      <w:pPr>
        <w:pStyle w:val="ListParagraph"/>
        <w:numPr>
          <w:ilvl w:val="0"/>
          <w:numId w:val="13"/>
        </w:numPr>
        <w:jc w:val="left"/>
        <w:rPr/>
      </w:pPr>
      <w:r>
        <w:rPr>
          <w:szCs w:val="24"/>
        </w:rPr>
        <w:t>Grant</w:t>
      </w:r>
      <w:r>
        <w:rPr>
          <w:color w:val="000000"/>
          <w:szCs w:val="24"/>
        </w:rPr>
        <w:t xml:space="preserve">odawca zakłada, że na obszarze każdej z gmin z obszaru LSR tj. gm. Wymiarki, </w:t>
        <w:br/>
        <w:t>gm. Małomice, gm. Iłowa, gm. Gozdnica, gm. Przewóz, gm. wiejska Żary, gm. wiejska Żagań,  przewiduje realizację jednego Zadania.</w:t>
      </w:r>
      <w:r>
        <w:rPr>
          <w:b/>
          <w:bCs/>
          <w:color w:val="000000"/>
          <w:szCs w:val="24"/>
        </w:rPr>
        <w:t xml:space="preserve"> ( Grantu ).  </w:t>
      </w:r>
      <w:r>
        <w:rPr>
          <w:b/>
          <w:bCs/>
          <w:color w:val="C9211E"/>
          <w:szCs w:val="24"/>
        </w:rPr>
        <w:t xml:space="preserve"> </w:t>
      </w:r>
    </w:p>
    <w:p>
      <w:pPr>
        <w:pStyle w:val="ListParagraph"/>
        <w:jc w:val="left"/>
        <w:rPr/>
      </w:pPr>
      <w:r>
        <w:rPr/>
      </w:r>
    </w:p>
    <w:p>
      <w:pPr>
        <w:pStyle w:val="ListParagraph"/>
        <w:numPr>
          <w:ilvl w:val="0"/>
          <w:numId w:val="13"/>
        </w:numPr>
        <w:jc w:val="left"/>
        <w:rPr/>
      </w:pPr>
      <w:r>
        <w:rPr>
          <w:szCs w:val="24"/>
        </w:rPr>
        <w:t>Regulamin oraz wszystkie niezbędne dokumenty umożliwiające prawidłowe przygotowanie Wniosku o powierzenie grantu w ramach danego naboru dostępne są na stronie internetowej Grantodawcy.</w:t>
      </w:r>
    </w:p>
    <w:p>
      <w:pPr>
        <w:pStyle w:val="ListParagraph"/>
        <w:jc w:val="left"/>
        <w:rPr/>
      </w:pPr>
      <w:r>
        <w:rPr/>
      </w:r>
    </w:p>
    <w:p>
      <w:pPr>
        <w:pStyle w:val="ListParagraph"/>
        <w:numPr>
          <w:ilvl w:val="0"/>
          <w:numId w:val="13"/>
        </w:numPr>
        <w:jc w:val="left"/>
        <w:rPr/>
      </w:pPr>
      <w:r>
        <w:rPr>
          <w:szCs w:val="24"/>
        </w:rPr>
        <w:t>Przystąpienie do naboru jest równoznaczne z akceptacją przez Grantobiorcę postanowień niniejszego Regulaminu.</w:t>
      </w:r>
    </w:p>
    <w:p>
      <w:pPr>
        <w:pStyle w:val="Normal"/>
        <w:jc w:val="left"/>
        <w:rPr/>
      </w:pPr>
      <w:r>
        <w:rPr/>
      </w:r>
    </w:p>
    <w:p>
      <w:pPr>
        <w:pStyle w:val="Nagwek11"/>
        <w:jc w:val="left"/>
        <w:rPr/>
      </w:pPr>
      <w:bookmarkStart w:id="4" w:name="_Toc163484296"/>
      <w:bookmarkStart w:id="5" w:name="_Toc163034550"/>
      <w:r>
        <w:rPr/>
        <w:t>Rozdział II WYKAZ AKTÓW PRAWNYCH</w:t>
      </w:r>
      <w:bookmarkEnd w:id="4"/>
      <w:bookmarkEnd w:id="5"/>
    </w:p>
    <w:p>
      <w:pPr>
        <w:pStyle w:val="ListParagraph"/>
        <w:numPr>
          <w:ilvl w:val="0"/>
          <w:numId w:val="14"/>
        </w:numPr>
        <w:suppressAutoHyphens w:val="false"/>
        <w:jc w:val="left"/>
        <w:rPr/>
      </w:pPr>
      <w:r>
        <w:rPr/>
        <w:t>Program Regionalny - Fundusze Europejskie dla Lubuskiego 2021-2027</w:t>
      </w:r>
    </w:p>
    <w:p>
      <w:pPr>
        <w:pStyle w:val="ListParagraph"/>
        <w:numPr>
          <w:ilvl w:val="0"/>
          <w:numId w:val="14"/>
        </w:numPr>
        <w:suppressAutoHyphens w:val="false"/>
        <w:jc w:val="left"/>
        <w:rPr/>
      </w:pPr>
      <w:r>
        <w:rPr/>
        <w:t>PS WPR – Plan Strategiczny dla Wspólnej Polityki Rolnej na lata 2023–2027</w:t>
      </w:r>
    </w:p>
    <w:p>
      <w:pPr>
        <w:pStyle w:val="ListParagraph"/>
        <w:numPr>
          <w:ilvl w:val="0"/>
          <w:numId w:val="14"/>
        </w:numPr>
        <w:suppressAutoHyphens w:val="false"/>
        <w:jc w:val="left"/>
        <w:rPr/>
      </w:pPr>
      <w:r>
        <w:rPr/>
        <w:t>Ustawa PS WPR – ustawa z dnia 8 lutego 2023 r. o Planie Strategicznym dla Wspólnej Polityki Rolnej na lata 2023–2027</w:t>
      </w:r>
    </w:p>
    <w:p>
      <w:pPr>
        <w:pStyle w:val="ListParagraph"/>
        <w:numPr>
          <w:ilvl w:val="0"/>
          <w:numId w:val="14"/>
        </w:numPr>
        <w:suppressAutoHyphens w:val="false"/>
        <w:jc w:val="left"/>
        <w:rPr/>
      </w:pPr>
      <w:r>
        <w:rPr/>
        <w:t>Ustawa RLKS – ustawa z dnia 20 lutego 2015 r. o rozwoju lokalnym z udziałem lokalnej społeczności</w:t>
      </w:r>
    </w:p>
    <w:p>
      <w:pPr>
        <w:pStyle w:val="ListParagraph"/>
        <w:numPr>
          <w:ilvl w:val="0"/>
          <w:numId w:val="14"/>
        </w:numPr>
        <w:suppressAutoHyphens w:val="false"/>
        <w:jc w:val="left"/>
        <w:rPr/>
      </w:pPr>
      <w:r>
        <w:rPr/>
        <w:t>Rozporządzenie 2021/1060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pPr>
        <w:pStyle w:val="ListParagraph"/>
        <w:numPr>
          <w:ilvl w:val="0"/>
          <w:numId w:val="14"/>
        </w:numPr>
        <w:suppressAutoHyphens w:val="false"/>
        <w:jc w:val="left"/>
        <w:rPr/>
      </w:pPr>
      <w:r>
        <w:rPr/>
        <w:t>Wytyczne podstawowe - Wytyczne podstawowe w zakresie pomocy finansowej w ramach Planu Strategicznego dla Wspólnej Polityki Rolnej na lata 2023–2027</w:t>
      </w:r>
    </w:p>
    <w:p>
      <w:pPr>
        <w:pStyle w:val="ListParagraph"/>
        <w:numPr>
          <w:ilvl w:val="0"/>
          <w:numId w:val="14"/>
        </w:numPr>
        <w:suppressAutoHyphens w:val="false"/>
        <w:jc w:val="left"/>
        <w:rPr/>
      </w:pPr>
      <w:r>
        <w:rPr/>
        <w:t>Wytyczne szczegółowe wdrażanie LSR – Wytyczne szczegółowe w zakresie przyznawania i wypłaty pomocy finansowej w ramach Planu Strategicznego dla Wspólnej Polityki Rolnej na lata 2023–2027 dla interwencji I.13.1 LEADER/Rozwój Lokalny Kierowany przez Społeczność (RLKS) – komponent Wdrażanie LSR</w:t>
      </w:r>
    </w:p>
    <w:p>
      <w:pPr>
        <w:pStyle w:val="ListParagraph"/>
        <w:numPr>
          <w:ilvl w:val="0"/>
          <w:numId w:val="14"/>
        </w:numPr>
        <w:suppressAutoHyphens w:val="false"/>
        <w:jc w:val="left"/>
        <w:rPr/>
      </w:pPr>
      <w:r>
        <w:rPr/>
        <w:t>Ustawa z dnia 28 kwietnia 2022 r. o zasadach realizacji zadań finansowanych ze środków europejskich w perspektywie finansowej 2021–20271</w:t>
      </w:r>
    </w:p>
    <w:p>
      <w:pPr>
        <w:pStyle w:val="ListParagraph"/>
        <w:numPr>
          <w:ilvl w:val="0"/>
          <w:numId w:val="14"/>
        </w:numPr>
        <w:suppressAutoHyphens w:val="false"/>
        <w:jc w:val="left"/>
        <w:rPr/>
      </w:pPr>
      <w:r>
        <w:rPr/>
        <w:t>Wytyczne dotyczące wyboru projektów na lata 2021-2027 Ministra Funduszy i Polityki Regionalnej.</w:t>
      </w:r>
    </w:p>
    <w:p>
      <w:pPr>
        <w:pStyle w:val="Nagwek11"/>
        <w:jc w:val="left"/>
        <w:rPr/>
      </w:pPr>
      <w:bookmarkStart w:id="6" w:name="_Toc163484297"/>
      <w:bookmarkStart w:id="7" w:name="_Toc162422609"/>
      <w:r>
        <w:rPr/>
        <w:t>Rozdział III SŁOWNICZEK I WYKAZ SKRÓTÓW</w:t>
      </w:r>
      <w:bookmarkEnd w:id="6"/>
      <w:bookmarkEnd w:id="7"/>
    </w:p>
    <w:p>
      <w:pPr>
        <w:pStyle w:val="ListParagraph"/>
        <w:numPr>
          <w:ilvl w:val="0"/>
          <w:numId w:val="1"/>
        </w:numPr>
        <w:spacing w:before="0" w:after="0"/>
        <w:ind w:left="851" w:hanging="425"/>
        <w:contextualSpacing/>
        <w:jc w:val="left"/>
        <w:rPr>
          <w:rFonts w:cs="Arial"/>
          <w:szCs w:val="24"/>
        </w:rPr>
      </w:pPr>
      <w:r>
        <w:rPr>
          <w:rFonts w:cs="Arial"/>
          <w:b/>
          <w:bCs/>
          <w:szCs w:val="24"/>
        </w:rPr>
        <w:t>Grantodawca</w:t>
      </w:r>
      <w:r>
        <w:rPr>
          <w:rFonts w:cs="Arial"/>
          <w:szCs w:val="24"/>
        </w:rPr>
        <w:t xml:space="preserve"> – Beneficjent projektu grantowego, </w:t>
      </w:r>
      <w:r>
        <w:rPr>
          <w:rFonts w:cs="Arial"/>
          <w:i/>
          <w:iCs/>
          <w:szCs w:val="24"/>
        </w:rPr>
        <w:t xml:space="preserve">(Stowarzyszenie - Lokalna Grupa Działania Bory Dolnośląskie </w:t>
      </w:r>
      <w:r>
        <w:rPr>
          <w:rFonts w:cs="Arial"/>
          <w:szCs w:val="24"/>
        </w:rPr>
        <w:t xml:space="preserve">Beneficjent projektu. „…….” </w:t>
      </w:r>
      <w:r>
        <w:rPr>
          <w:rFonts w:cs="Arial"/>
          <w:i/>
          <w:iCs/>
          <w:szCs w:val="24"/>
        </w:rPr>
        <w:t>(numer i tytuł projektu),</w:t>
      </w:r>
      <w:r>
        <w:rPr>
          <w:rFonts w:cs="Arial"/>
          <w:szCs w:val="24"/>
        </w:rPr>
        <w:t xml:space="preserve"> </w:t>
      </w:r>
      <w:r>
        <w:rPr/>
        <w:t>współ</w:t>
      </w:r>
      <w:r>
        <w:rPr>
          <w:rFonts w:cs="Arial"/>
          <w:szCs w:val="24"/>
        </w:rPr>
        <w:t xml:space="preserve">finansowanego w ramach Europejskiego Funduszu Społecznego Plus, Priorytet 7 – Fundusze Europejskie na rozwój lokalny kierowany przez społeczność, Działanie   </w:t>
      </w:r>
      <w:r>
        <w:rPr>
          <w:rFonts w:cs="Arial"/>
          <w:b/>
          <w:szCs w:val="24"/>
        </w:rPr>
        <w:t>FELB.07.02 Lokalne kształcenie dorosłych</w:t>
      </w:r>
      <w:r>
        <w:rPr>
          <w:rFonts w:cs="Arial"/>
          <w:b/>
          <w:color w:val="365F91" w:themeColor="accent1" w:themeShade="bf"/>
          <w:szCs w:val="24"/>
        </w:rPr>
        <w:t xml:space="preserve"> </w:t>
      </w:r>
      <w:r>
        <w:rPr>
          <w:rFonts w:cs="Arial"/>
          <w:szCs w:val="24"/>
        </w:rPr>
        <w:t>Regionalnego Programu Fundusze Europejskie dla Lubuskiego 2021-2027</w:t>
      </w:r>
    </w:p>
    <w:p>
      <w:pPr>
        <w:pStyle w:val="ListParagraph"/>
        <w:numPr>
          <w:ilvl w:val="0"/>
          <w:numId w:val="1"/>
        </w:numPr>
        <w:suppressAutoHyphens w:val="false"/>
        <w:spacing w:before="0" w:after="0"/>
        <w:ind w:left="851" w:hanging="425"/>
        <w:contextualSpacing/>
        <w:jc w:val="left"/>
        <w:rPr>
          <w:rFonts w:cs="Arial"/>
          <w:szCs w:val="24"/>
        </w:rPr>
      </w:pPr>
      <w:r>
        <w:rPr>
          <w:rFonts w:cs="Arial"/>
          <w:b/>
          <w:szCs w:val="24"/>
        </w:rPr>
        <w:t>Zadanie</w:t>
      </w:r>
      <w:r>
        <w:rPr>
          <w:rFonts w:cs="Arial"/>
          <w:szCs w:val="24"/>
        </w:rPr>
        <w:t xml:space="preserve"> – grant przewidziany do realizacji na obszarze danej  gminy z obszaru objętego LSR i skierowany do mieszkańców tej gminy</w:t>
      </w:r>
    </w:p>
    <w:p>
      <w:pPr>
        <w:pStyle w:val="ListParagraph"/>
        <w:numPr>
          <w:ilvl w:val="0"/>
          <w:numId w:val="1"/>
        </w:numPr>
        <w:spacing w:before="0" w:after="0"/>
        <w:ind w:left="851" w:hanging="425"/>
        <w:contextualSpacing/>
        <w:jc w:val="left"/>
        <w:rPr>
          <w:rFonts w:cs="Arial"/>
          <w:szCs w:val="24"/>
        </w:rPr>
      </w:pPr>
      <w:r>
        <w:rPr>
          <w:rFonts w:cs="Arial"/>
          <w:b/>
          <w:bCs/>
          <w:szCs w:val="24"/>
        </w:rPr>
        <w:t>Grant</w:t>
      </w:r>
      <w:r>
        <w:rPr>
          <w:rFonts w:cs="Arial"/>
          <w:szCs w:val="24"/>
        </w:rPr>
        <w:t xml:space="preserve"> – środki finansowe, które Grantodawca powierzy Grantobiorcy, na realizację zadań służących osiągnięciu celu projektu grantowego</w:t>
      </w:r>
    </w:p>
    <w:p>
      <w:pPr>
        <w:pStyle w:val="ListParagraph"/>
        <w:numPr>
          <w:ilvl w:val="0"/>
          <w:numId w:val="1"/>
        </w:numPr>
        <w:spacing w:before="0" w:after="0"/>
        <w:ind w:left="851" w:hanging="425"/>
        <w:contextualSpacing/>
        <w:jc w:val="left"/>
        <w:rPr>
          <w:rFonts w:cs="Arial"/>
          <w:szCs w:val="24"/>
        </w:rPr>
      </w:pPr>
      <w:r>
        <w:rPr>
          <w:rFonts w:cs="Arial"/>
          <w:b/>
          <w:bCs/>
          <w:szCs w:val="24"/>
        </w:rPr>
        <w:t xml:space="preserve">Grantobiorca </w:t>
      </w:r>
      <w:r>
        <w:rPr>
          <w:rFonts w:cs="Arial"/>
          <w:szCs w:val="24"/>
        </w:rPr>
        <w:t xml:space="preserve">– podmiot, z którym zawarta będzie Umowa o powierzenie grantu </w:t>
      </w:r>
    </w:p>
    <w:p>
      <w:pPr>
        <w:pStyle w:val="ListParagraph"/>
        <w:numPr>
          <w:ilvl w:val="0"/>
          <w:numId w:val="1"/>
        </w:numPr>
        <w:spacing w:before="0" w:after="0"/>
        <w:ind w:left="851" w:hanging="425"/>
        <w:contextualSpacing/>
        <w:jc w:val="left"/>
        <w:rPr>
          <w:rFonts w:cs="Arial"/>
          <w:szCs w:val="24"/>
        </w:rPr>
      </w:pPr>
      <w:r>
        <w:rPr>
          <w:rFonts w:cs="Arial"/>
          <w:b/>
          <w:bCs/>
          <w:szCs w:val="24"/>
        </w:rPr>
        <w:t>Wniosek</w:t>
      </w:r>
      <w:r>
        <w:rPr>
          <w:rFonts w:cs="Arial"/>
          <w:szCs w:val="24"/>
        </w:rPr>
        <w:t xml:space="preserve"> – wniosek o powierzenie Grantu</w:t>
      </w:r>
    </w:p>
    <w:p>
      <w:pPr>
        <w:pStyle w:val="ListParagraph"/>
        <w:numPr>
          <w:ilvl w:val="0"/>
          <w:numId w:val="1"/>
        </w:numPr>
        <w:spacing w:before="0" w:after="0"/>
        <w:ind w:left="851" w:hanging="425"/>
        <w:contextualSpacing/>
        <w:jc w:val="left"/>
        <w:rPr>
          <w:rFonts w:cs="Arial"/>
          <w:szCs w:val="24"/>
        </w:rPr>
      </w:pPr>
      <w:r>
        <w:rPr>
          <w:rFonts w:cs="Arial"/>
          <w:b/>
          <w:bCs/>
          <w:szCs w:val="24"/>
        </w:rPr>
        <w:t>Projekt</w:t>
      </w:r>
      <w:r>
        <w:rPr>
          <w:rFonts w:cs="Arial"/>
          <w:szCs w:val="24"/>
        </w:rPr>
        <w:t xml:space="preserve"> – projekt grantowy  „…….” </w:t>
      </w:r>
      <w:r>
        <w:rPr>
          <w:rFonts w:cs="Arial"/>
          <w:i/>
          <w:iCs/>
          <w:szCs w:val="24"/>
        </w:rPr>
        <w:t>(numer i tytuł projektu),</w:t>
      </w:r>
      <w:r>
        <w:rPr>
          <w:rFonts w:cs="Arial"/>
          <w:szCs w:val="24"/>
        </w:rPr>
        <w:t xml:space="preserve"> </w:t>
      </w:r>
      <w:r>
        <w:rPr/>
        <w:t>współ</w:t>
      </w:r>
      <w:r>
        <w:rPr>
          <w:rFonts w:cs="Arial"/>
          <w:szCs w:val="24"/>
        </w:rPr>
        <w:t>finansowany w ramach Europejskiego Funduszu Społecznego Plus, Priorytet 7 – Fundusze Europejskie na rozwój lokalny kierowany przez społeczność, Działanie</w:t>
      </w:r>
      <w:r>
        <w:rPr>
          <w:rFonts w:cs="Arial"/>
          <w:b/>
          <w:szCs w:val="24"/>
        </w:rPr>
        <w:t xml:space="preserve"> FELB.07.02 Lokalne kształcenie dorosłych</w:t>
      </w:r>
      <w:r>
        <w:rPr>
          <w:rFonts w:cs="Arial"/>
          <w:b/>
          <w:color w:val="365F91" w:themeColor="accent1" w:themeShade="bf"/>
          <w:szCs w:val="24"/>
        </w:rPr>
        <w:t xml:space="preserve"> </w:t>
      </w:r>
      <w:r>
        <w:rPr>
          <w:rFonts w:cs="Arial"/>
          <w:szCs w:val="24"/>
        </w:rPr>
        <w:t>Regionalnego Programu Fundusze Europejskie dla Lubuskiego 2021-2027</w:t>
      </w:r>
    </w:p>
    <w:p>
      <w:pPr>
        <w:pStyle w:val="ListParagraph"/>
        <w:numPr>
          <w:ilvl w:val="0"/>
          <w:numId w:val="1"/>
        </w:numPr>
        <w:spacing w:before="0" w:after="0"/>
        <w:ind w:left="851" w:hanging="425"/>
        <w:contextualSpacing/>
        <w:jc w:val="left"/>
        <w:rPr>
          <w:rFonts w:cs="Arial"/>
          <w:szCs w:val="24"/>
        </w:rPr>
      </w:pPr>
      <w:r>
        <w:rPr>
          <w:rFonts w:cs="Arial"/>
          <w:b/>
          <w:szCs w:val="24"/>
        </w:rPr>
        <w:t xml:space="preserve">Projekt objęty grantem </w:t>
      </w:r>
      <w:r>
        <w:rPr>
          <w:rFonts w:cs="Arial"/>
          <w:szCs w:val="24"/>
        </w:rPr>
        <w:t>– projekt realizowany w ramach projektu grantowego, na który Grantobiorca otrzymuje grant (środki finansowe) od Grantodawcy, wyłoniony w procedurze naboru grantów zmierzający do osiągnięcia założonego celu projektu grantowego określonego wskaźnikami, z określonym początkiem i końcem realizacji</w:t>
      </w:r>
    </w:p>
    <w:p>
      <w:pPr>
        <w:pStyle w:val="ListParagraph"/>
        <w:numPr>
          <w:ilvl w:val="0"/>
          <w:numId w:val="1"/>
        </w:numPr>
        <w:spacing w:before="0" w:after="0"/>
        <w:ind w:left="851" w:hanging="425"/>
        <w:contextualSpacing/>
        <w:jc w:val="left"/>
        <w:rPr>
          <w:rFonts w:cs="Arial"/>
          <w:szCs w:val="24"/>
        </w:rPr>
      </w:pPr>
      <w:r>
        <w:rPr>
          <w:rFonts w:cs="Arial"/>
          <w:b/>
          <w:bCs/>
          <w:szCs w:val="24"/>
        </w:rPr>
        <w:t>LSR</w:t>
      </w:r>
      <w:r>
        <w:rPr>
          <w:rFonts w:cs="Arial"/>
          <w:bCs/>
          <w:szCs w:val="24"/>
        </w:rPr>
        <w:t xml:space="preserve"> –</w:t>
      </w:r>
      <w:r>
        <w:rPr>
          <w:rFonts w:cs="Arial"/>
          <w:b/>
          <w:bCs/>
          <w:szCs w:val="24"/>
        </w:rPr>
        <w:t xml:space="preserve"> </w:t>
      </w:r>
      <w:r>
        <w:rPr>
          <w:rFonts w:cs="Arial"/>
          <w:bCs/>
          <w:szCs w:val="24"/>
        </w:rPr>
        <w:t>Lokalna Strategia Rozwoju LGD BD</w:t>
      </w:r>
    </w:p>
    <w:p>
      <w:pPr>
        <w:pStyle w:val="ListParagraph"/>
        <w:numPr>
          <w:ilvl w:val="0"/>
          <w:numId w:val="1"/>
        </w:numPr>
        <w:suppressAutoHyphens w:val="false"/>
        <w:spacing w:before="0" w:after="0"/>
        <w:ind w:left="851" w:hanging="425"/>
        <w:contextualSpacing/>
        <w:jc w:val="left"/>
        <w:rPr>
          <w:rFonts w:cs="Arial"/>
          <w:szCs w:val="24"/>
        </w:rPr>
      </w:pPr>
      <w:r>
        <w:rPr>
          <w:rFonts w:cs="Arial"/>
          <w:b/>
          <w:szCs w:val="24"/>
        </w:rPr>
        <w:t>LGD BD/LGD</w:t>
      </w:r>
      <w:r>
        <w:rPr>
          <w:rFonts w:cs="Arial"/>
          <w:szCs w:val="24"/>
        </w:rPr>
        <w:t xml:space="preserve"> – Lokalna Grupa Działania Bory Dolnośląskie</w:t>
      </w:r>
    </w:p>
    <w:p>
      <w:pPr>
        <w:pStyle w:val="ListParagraph"/>
        <w:numPr>
          <w:ilvl w:val="0"/>
          <w:numId w:val="1"/>
        </w:numPr>
        <w:spacing w:before="0" w:after="0"/>
        <w:ind w:left="851" w:hanging="425"/>
        <w:contextualSpacing/>
        <w:jc w:val="left"/>
        <w:rPr>
          <w:rFonts w:cs="Arial"/>
          <w:szCs w:val="24"/>
        </w:rPr>
      </w:pPr>
      <w:r>
        <w:rPr>
          <w:rFonts w:cs="Arial"/>
          <w:b/>
          <w:szCs w:val="24"/>
        </w:rPr>
        <w:t>IZ</w:t>
      </w:r>
      <w:r>
        <w:rPr>
          <w:rFonts w:cs="Arial"/>
          <w:szCs w:val="24"/>
        </w:rPr>
        <w:t xml:space="preserve"> – Instytucja Zarządzająca, tj. Zarząd Województwa Lubuskiego</w:t>
      </w:r>
    </w:p>
    <w:p>
      <w:pPr>
        <w:pStyle w:val="ListParagraph"/>
        <w:numPr>
          <w:ilvl w:val="0"/>
          <w:numId w:val="1"/>
        </w:numPr>
        <w:spacing w:before="0" w:after="0"/>
        <w:ind w:left="851" w:hanging="425"/>
        <w:contextualSpacing/>
        <w:jc w:val="left"/>
        <w:rPr>
          <w:rFonts w:cs="Arial"/>
          <w:b/>
          <w:b/>
          <w:szCs w:val="24"/>
        </w:rPr>
      </w:pPr>
      <w:r>
        <w:rPr>
          <w:rFonts w:cs="Arial"/>
          <w:b/>
          <w:szCs w:val="24"/>
        </w:rPr>
        <w:t xml:space="preserve">Procedura </w:t>
      </w:r>
      <w:r>
        <w:rPr>
          <w:rFonts w:cs="Arial"/>
          <w:szCs w:val="24"/>
        </w:rPr>
        <w:t xml:space="preserve">- </w:t>
      </w:r>
      <w:r>
        <w:rPr/>
        <w:t xml:space="preserve">Procedury wyboru i oceny grantobiorców w ramach projektów grantowych wraz z opisem sposobu rozliczania grantów, monitorowania i kontroli, </w:t>
      </w:r>
      <w:r>
        <w:rPr>
          <w:szCs w:val="24"/>
        </w:rPr>
        <w:t>tj. Projektu objętego grantem</w:t>
      </w:r>
    </w:p>
    <w:p>
      <w:pPr>
        <w:pStyle w:val="ListParagraph"/>
        <w:numPr>
          <w:ilvl w:val="0"/>
          <w:numId w:val="1"/>
        </w:numPr>
        <w:spacing w:before="0" w:after="0"/>
        <w:ind w:left="851" w:hanging="425"/>
        <w:contextualSpacing/>
        <w:jc w:val="left"/>
        <w:rPr>
          <w:rFonts w:cs="Arial"/>
          <w:b/>
          <w:b/>
          <w:szCs w:val="24"/>
        </w:rPr>
      </w:pPr>
      <w:r>
        <w:rPr>
          <w:rFonts w:cs="Arial"/>
          <w:b/>
          <w:szCs w:val="24"/>
        </w:rPr>
        <w:t xml:space="preserve">EFS+ </w:t>
      </w:r>
      <w:r>
        <w:rPr>
          <w:rFonts w:cs="Arial"/>
          <w:szCs w:val="24"/>
        </w:rPr>
        <w:t>– Europejski Fundusz Społeczny Plus</w:t>
      </w:r>
    </w:p>
    <w:p>
      <w:pPr>
        <w:pStyle w:val="ListParagraph"/>
        <w:numPr>
          <w:ilvl w:val="0"/>
          <w:numId w:val="1"/>
        </w:numPr>
        <w:spacing w:before="0" w:after="0"/>
        <w:ind w:left="851" w:hanging="425"/>
        <w:contextualSpacing/>
        <w:jc w:val="left"/>
        <w:rPr>
          <w:rFonts w:cs="Arial"/>
          <w:b/>
          <w:b/>
          <w:szCs w:val="24"/>
        </w:rPr>
      </w:pPr>
      <w:r>
        <w:rPr>
          <w:rFonts w:cs="Arial"/>
          <w:b/>
          <w:szCs w:val="24"/>
        </w:rPr>
        <w:t xml:space="preserve">Umowa </w:t>
      </w:r>
      <w:r>
        <w:rPr>
          <w:rFonts w:cs="Arial"/>
          <w:szCs w:val="24"/>
        </w:rPr>
        <w:t xml:space="preserve">- </w:t>
      </w:r>
      <w:r>
        <w:rPr/>
        <w:t>Umowa o powierzenie Grantu na realizację projektu objetego grantem</w:t>
      </w:r>
    </w:p>
    <w:p>
      <w:pPr>
        <w:pStyle w:val="ListParagraph"/>
        <w:numPr>
          <w:ilvl w:val="0"/>
          <w:numId w:val="1"/>
        </w:numPr>
        <w:spacing w:before="0" w:after="0"/>
        <w:ind w:left="851" w:hanging="425"/>
        <w:contextualSpacing/>
        <w:jc w:val="left"/>
        <w:rPr>
          <w:rFonts w:cs="Arial"/>
          <w:b/>
          <w:b/>
          <w:szCs w:val="24"/>
        </w:rPr>
      </w:pPr>
      <w:r>
        <w:rPr>
          <w:rFonts w:cs="Arial"/>
          <w:b/>
          <w:szCs w:val="24"/>
        </w:rPr>
        <w:t>Regulamin</w:t>
      </w:r>
      <w:r>
        <w:rPr>
          <w:rFonts w:cs="Arial"/>
          <w:szCs w:val="24"/>
        </w:rPr>
        <w:t xml:space="preserve"> -</w:t>
      </w:r>
      <w:r>
        <w:rPr>
          <w:rFonts w:cs="Arial"/>
          <w:b/>
          <w:szCs w:val="24"/>
        </w:rPr>
        <w:t xml:space="preserve"> </w:t>
      </w:r>
      <w:r>
        <w:rPr/>
        <w:t xml:space="preserve">Regulamin naboru wniosków i zasad realizacji projektu grantowego, tj. Projektu objętego grantem  </w:t>
      </w:r>
    </w:p>
    <w:p>
      <w:pPr>
        <w:pStyle w:val="ListParagraph"/>
        <w:numPr>
          <w:ilvl w:val="0"/>
          <w:numId w:val="1"/>
        </w:numPr>
        <w:spacing w:before="0" w:after="0"/>
        <w:ind w:left="851" w:hanging="425"/>
        <w:contextualSpacing/>
        <w:jc w:val="left"/>
        <w:rPr>
          <w:rFonts w:cs="Arial"/>
          <w:b/>
          <w:b/>
          <w:szCs w:val="24"/>
        </w:rPr>
      </w:pPr>
      <w:r>
        <w:rPr>
          <w:rFonts w:cs="Arial"/>
          <w:b/>
          <w:szCs w:val="24"/>
        </w:rPr>
        <w:t xml:space="preserve">Rada </w:t>
      </w:r>
      <w:r>
        <w:rPr>
          <w:rFonts w:cs="Arial"/>
          <w:szCs w:val="24"/>
        </w:rPr>
        <w:t>– Rada Stowarzyszenia LGD BD</w:t>
      </w:r>
    </w:p>
    <w:p>
      <w:pPr>
        <w:pStyle w:val="ListParagraph"/>
        <w:numPr>
          <w:ilvl w:val="0"/>
          <w:numId w:val="1"/>
        </w:numPr>
        <w:spacing w:before="0" w:after="0"/>
        <w:ind w:left="851" w:hanging="425"/>
        <w:contextualSpacing/>
        <w:jc w:val="left"/>
        <w:rPr/>
      </w:pPr>
      <w:r>
        <w:rPr>
          <w:rFonts w:cs="Arial"/>
          <w:b/>
          <w:szCs w:val="24"/>
        </w:rPr>
        <w:t>Regulamin Rady</w:t>
      </w:r>
      <w:r>
        <w:rPr>
          <w:rFonts w:cs="Arial"/>
          <w:szCs w:val="24"/>
        </w:rPr>
        <w:t xml:space="preserve"> – Regulamin Rady Stowarzyszenia LGD BD</w:t>
      </w:r>
    </w:p>
    <w:p>
      <w:pPr>
        <w:pStyle w:val="ListParagraph"/>
        <w:numPr>
          <w:ilvl w:val="0"/>
          <w:numId w:val="1"/>
        </w:numPr>
        <w:rPr/>
      </w:pPr>
      <w:r>
        <w:rPr>
          <w:b/>
          <w:bCs/>
        </w:rPr>
        <w:t>System IT LGD</w:t>
      </w:r>
      <w:r>
        <w:rPr/>
        <w:t xml:space="preserve"> – system teleinformatyczny wspomagający przeprowadzenie konkursu, oceny i  wyboru wniosków stosowany w LGD.</w:t>
      </w:r>
    </w:p>
    <w:p>
      <w:pPr>
        <w:pStyle w:val="Nagwek11"/>
        <w:jc w:val="left"/>
        <w:rPr/>
      </w:pPr>
      <w:bookmarkStart w:id="8" w:name="_Toc163484298"/>
      <w:bookmarkStart w:id="9" w:name="_Toc162422610"/>
      <w:r>
        <w:rPr/>
        <w:t>Rozdział IV CEL POWIERZENIA GRANTÓW, ZAKRES ZADAŃ MOŻLIWYCH DO REALIZACJI ORAZ GRUPA DOCELOWA</w:t>
      </w:r>
      <w:bookmarkEnd w:id="8"/>
      <w:bookmarkEnd w:id="9"/>
    </w:p>
    <w:p>
      <w:pPr>
        <w:pStyle w:val="Normal"/>
        <w:widowControl/>
        <w:suppressAutoHyphens w:val="true"/>
        <w:bidi w:val="0"/>
        <w:spacing w:lineRule="auto" w:line="276" w:before="0" w:after="200"/>
        <w:ind w:left="113" w:right="0" w:hanging="0"/>
        <w:jc w:val="left"/>
        <w:rPr/>
      </w:pPr>
      <w:r>
        <w:rPr/>
        <w:t xml:space="preserve">    </w:t>
      </w:r>
      <w:r>
        <w:rPr/>
        <w:t xml:space="preserve">1.   </w:t>
      </w:r>
      <w:r>
        <w:rPr>
          <w:rFonts w:cs="Arial"/>
          <w:szCs w:val="24"/>
        </w:rPr>
        <w:t>Wsparcie będzie przyznawane wyłącznie na realizację grantów.</w:t>
      </w:r>
    </w:p>
    <w:p>
      <w:pPr>
        <w:pStyle w:val="ListParagraph"/>
        <w:numPr>
          <w:ilvl w:val="0"/>
          <w:numId w:val="0"/>
        </w:numPr>
        <w:ind w:left="360" w:hanging="0"/>
        <w:jc w:val="left"/>
        <w:rPr>
          <w:rFonts w:cs="Arial"/>
          <w:szCs w:val="24"/>
        </w:rPr>
      </w:pPr>
      <w:r>
        <w:rPr>
          <w:rFonts w:cs="Arial"/>
          <w:szCs w:val="24"/>
        </w:rPr>
        <w:t>2.  Celem powierzenia Grantów jest realizacja projektów grantowych, które przyczynią się do podnoszenia umiejętności i kompetencji osób dorosłych objętych wsparciem. Uczenie się dorosłych znacząco przyczyni się do zwiększenia szans na zatrudnienie lub utrzymanie miejsc pracy, dlatego osoby posiadające niskie kompetencje podstawowe będą mogły podnieść swoje umiejętności/kompetencje w ramach działań na rzecz zapewnienia równości, włączenia społecznego i niedyskryminacji. Celem jest wsparcie inicjatyw na rzecz kształcenia osób dorosłych a w szczególności wspieranie uczenia się przez całe życie z uwzględnieniem umiejętności w zakresie przedsiębiorczości i kompetencji cyfrowych, lepsze przewidywanie zmian i zapotrzebowanie na nowe umiejętności na podstawie potrzeb rynku pracy.</w:t>
      </w:r>
    </w:p>
    <w:p>
      <w:pPr>
        <w:pStyle w:val="ListParagraph"/>
        <w:ind w:left="360" w:hanging="0"/>
        <w:jc w:val="left"/>
        <w:rPr>
          <w:rFonts w:cs="Arial"/>
          <w:szCs w:val="24"/>
        </w:rPr>
      </w:pPr>
      <w:r>
        <w:rPr>
          <w:rFonts w:cs="Arial"/>
          <w:szCs w:val="24"/>
        </w:rPr>
      </w:r>
    </w:p>
    <w:p>
      <w:pPr>
        <w:pStyle w:val="ListParagraph"/>
        <w:numPr>
          <w:ilvl w:val="0"/>
          <w:numId w:val="0"/>
        </w:numPr>
        <w:ind w:left="360" w:hanging="0"/>
        <w:jc w:val="left"/>
        <w:rPr>
          <w:rFonts w:cs="Arial"/>
          <w:szCs w:val="24"/>
        </w:rPr>
      </w:pPr>
      <w:r>
        <w:rPr>
          <w:rFonts w:cs="Arial"/>
          <w:szCs w:val="24"/>
        </w:rPr>
        <w:t>3.   Planowane działania muszą  być zgodne z Programem FEWL 2021-2027, Wytycznymi dotyczącymi realizacji projektów z udziałem Europejskiego Funduszu Społecznego Plus w regionalnych programach na lata 2021-2027 oraz z Lokalną Strategią Rozwoju.</w:t>
      </w:r>
    </w:p>
    <w:p>
      <w:pPr>
        <w:pStyle w:val="ListParagraph"/>
        <w:ind w:left="360" w:hanging="0"/>
        <w:jc w:val="left"/>
        <w:rPr>
          <w:szCs w:val="24"/>
        </w:rPr>
      </w:pPr>
      <w:r>
        <w:rPr>
          <w:szCs w:val="24"/>
        </w:rPr>
      </w:r>
    </w:p>
    <w:p>
      <w:pPr>
        <w:pStyle w:val="ListParagraph"/>
        <w:numPr>
          <w:ilvl w:val="0"/>
          <w:numId w:val="0"/>
        </w:numPr>
        <w:suppressAutoHyphens w:val="false"/>
        <w:ind w:left="360" w:hanging="0"/>
        <w:jc w:val="left"/>
        <w:rPr>
          <w:szCs w:val="24"/>
        </w:rPr>
      </w:pPr>
      <w:r>
        <w:rPr>
          <w:szCs w:val="24"/>
        </w:rPr>
        <w:t>4.   Projek</w:t>
      </w:r>
      <w:r>
        <w:rPr>
          <w:color w:val="000000"/>
          <w:szCs w:val="24"/>
        </w:rPr>
        <w:t xml:space="preserve">ty objęte grantem muszą być realizowane </w:t>
      </w:r>
      <w:r>
        <w:rPr>
          <w:b w:val="false"/>
          <w:bCs w:val="false"/>
          <w:color w:val="000000"/>
          <w:szCs w:val="24"/>
        </w:rPr>
        <w:t xml:space="preserve">na obszarze </w:t>
      </w:r>
      <w:r>
        <w:rPr>
          <w:color w:val="000000"/>
          <w:szCs w:val="24"/>
        </w:rPr>
        <w:t xml:space="preserve">objętym LSR Stowarzyszenia LGD Bory Dolnośląskie  </w:t>
      </w:r>
      <w:r>
        <w:rPr>
          <w:strike/>
          <w:color w:val="000000"/>
          <w:szCs w:val="24"/>
        </w:rPr>
        <w:t>(</w:t>
      </w:r>
      <w:r>
        <w:rPr>
          <w:strike w:val="false"/>
          <w:dstrike w:val="false"/>
          <w:color w:val="000000"/>
          <w:szCs w:val="24"/>
        </w:rPr>
        <w:t>.</w:t>
      </w:r>
      <w:r>
        <w:rPr>
          <w:rFonts w:ascii="Liberation Serif" w:hAnsi="Liberation Serif"/>
          <w:strike w:val="false"/>
          <w:dstrike w:val="false"/>
          <w:color w:val="000000"/>
          <w:szCs w:val="24"/>
        </w:rPr>
        <w:t xml:space="preserve">gm. </w:t>
      </w:r>
      <w:r>
        <w:rPr>
          <w:rFonts w:ascii="Liberation Serif" w:hAnsi="Liberation Serif"/>
          <w:b w:val="false"/>
          <w:bCs w:val="false"/>
          <w:strike w:val="false"/>
          <w:dstrike w:val="false"/>
          <w:color w:val="000000"/>
          <w:szCs w:val="24"/>
        </w:rPr>
        <w:t xml:space="preserve">wiejska Żary , gm. Przewóz,  gm. Iłowa, gm. Małomice, gm. Wymiarki, gm. </w:t>
      </w:r>
      <w:r>
        <w:rPr>
          <w:rFonts w:ascii="Liberation Serif" w:hAnsi="Liberation Serif"/>
          <w:strike w:val="false"/>
          <w:dstrike w:val="false"/>
          <w:color w:val="000000"/>
          <w:szCs w:val="24"/>
        </w:rPr>
        <w:t xml:space="preserve">Gozdnica, </w:t>
      </w:r>
      <w:r>
        <w:rPr>
          <w:rFonts w:ascii="Liberation Serif" w:hAnsi="Liberation Serif"/>
          <w:b w:val="false"/>
          <w:bCs w:val="false"/>
          <w:strike w:val="false"/>
          <w:dstrike w:val="false"/>
          <w:color w:val="000000"/>
          <w:szCs w:val="24"/>
        </w:rPr>
        <w:t xml:space="preserve">gm. wiejska Żagań. ), </w:t>
      </w:r>
      <w:r>
        <w:rPr>
          <w:b w:val="false"/>
          <w:bCs w:val="false"/>
          <w:color w:val="000000"/>
          <w:szCs w:val="24"/>
        </w:rPr>
        <w:t>ewentualnie na obszarze województwa lubuskiego. Realizację działań poza obszarem województwa lubuskiego należy każdorazowo szczegółowo uzasadnić.</w:t>
      </w:r>
    </w:p>
    <w:p>
      <w:pPr>
        <w:pStyle w:val="ListParagraph"/>
        <w:numPr>
          <w:ilvl w:val="0"/>
          <w:numId w:val="0"/>
        </w:numPr>
        <w:suppressAutoHyphens w:val="false"/>
        <w:ind w:left="360" w:hanging="0"/>
        <w:jc w:val="left"/>
        <w:rPr>
          <w:b w:val="false"/>
          <w:b w:val="false"/>
          <w:bCs w:val="false"/>
          <w:color w:val="000000"/>
          <w:szCs w:val="24"/>
        </w:rPr>
      </w:pPr>
      <w:r>
        <w:rPr>
          <w:b w:val="false"/>
          <w:bCs w:val="false"/>
          <w:color w:val="000000"/>
          <w:szCs w:val="24"/>
        </w:rPr>
      </w:r>
    </w:p>
    <w:p>
      <w:pPr>
        <w:pStyle w:val="ListParagraph"/>
        <w:numPr>
          <w:ilvl w:val="0"/>
          <w:numId w:val="0"/>
        </w:numPr>
        <w:suppressAutoHyphens w:val="false"/>
        <w:ind w:left="360" w:hanging="0"/>
        <w:jc w:val="left"/>
        <w:rPr>
          <w:b w:val="false"/>
          <w:b w:val="false"/>
          <w:bCs w:val="false"/>
          <w:color w:val="000000"/>
        </w:rPr>
      </w:pPr>
      <w:r>
        <w:rPr>
          <w:b w:val="false"/>
          <w:bCs w:val="false"/>
          <w:color w:val="000000"/>
          <w:szCs w:val="24"/>
        </w:rPr>
        <w:t xml:space="preserve">5. Grantobiorca nie może być jednocześnie uczestnikiem projektu. </w:t>
      </w:r>
    </w:p>
    <w:p>
      <w:pPr>
        <w:pStyle w:val="ListParagraph"/>
        <w:ind w:left="360" w:hanging="0"/>
        <w:jc w:val="left"/>
        <w:rPr>
          <w:b w:val="false"/>
          <w:b w:val="false"/>
          <w:bCs w:val="false"/>
          <w:szCs w:val="24"/>
          <w:highlight w:val="green"/>
        </w:rPr>
      </w:pPr>
      <w:r>
        <w:rPr>
          <w:b w:val="false"/>
          <w:bCs w:val="false"/>
          <w:szCs w:val="24"/>
          <w:highlight w:val="green"/>
        </w:rPr>
      </w:r>
    </w:p>
    <w:p>
      <w:pPr>
        <w:pStyle w:val="ListParagraph"/>
        <w:numPr>
          <w:ilvl w:val="0"/>
          <w:numId w:val="0"/>
        </w:numPr>
        <w:suppressAutoHyphens w:val="false"/>
        <w:ind w:left="360" w:hanging="0"/>
        <w:jc w:val="left"/>
        <w:rPr/>
      </w:pPr>
      <w:r>
        <w:rPr>
          <w:b w:val="false"/>
          <w:bCs w:val="false"/>
          <w:szCs w:val="24"/>
        </w:rPr>
        <w:t>6.  Grupę docelową tworzą</w:t>
      </w:r>
      <w:r>
        <w:rPr>
          <w:szCs w:val="24"/>
        </w:rPr>
        <w:t xml:space="preserve"> dorośli mieszkańcy o niskich kwalifikacjach, zagrożeni degradacją lub wykluczeniem z rynku pracy pochodzący z obszaru objętego Lokalną Strategią Rozwoju LGD BD (.</w:t>
      </w:r>
      <w:r>
        <w:rPr>
          <w:rFonts w:ascii="Liberation Serif" w:hAnsi="Liberation Serif"/>
          <w:strike w:val="false"/>
          <w:dstrike w:val="false"/>
          <w:color w:val="000000"/>
          <w:szCs w:val="24"/>
        </w:rPr>
        <w:t xml:space="preserve">gm. </w:t>
      </w:r>
      <w:r>
        <w:rPr>
          <w:rFonts w:ascii="Liberation Serif" w:hAnsi="Liberation Serif"/>
          <w:b w:val="false"/>
          <w:bCs w:val="false"/>
          <w:strike w:val="false"/>
          <w:dstrike w:val="false"/>
          <w:color w:val="000000"/>
          <w:szCs w:val="24"/>
        </w:rPr>
        <w:t xml:space="preserve">wiejska Żary , gm. Przewóz,  gm. Iłowa, gm. Małomice, gm. Wymiarki, gm. </w:t>
      </w:r>
      <w:r>
        <w:rPr>
          <w:rFonts w:ascii="Liberation Serif" w:hAnsi="Liberation Serif"/>
          <w:strike w:val="false"/>
          <w:dstrike w:val="false"/>
          <w:color w:val="000000"/>
          <w:szCs w:val="24"/>
        </w:rPr>
        <w:t xml:space="preserve">Gozdnica, </w:t>
      </w:r>
      <w:r>
        <w:rPr>
          <w:rFonts w:ascii="Liberation Serif" w:hAnsi="Liberation Serif"/>
          <w:b w:val="false"/>
          <w:bCs w:val="false"/>
          <w:strike w:val="false"/>
          <w:dstrike w:val="false"/>
          <w:color w:val="000000"/>
          <w:szCs w:val="24"/>
        </w:rPr>
        <w:t>gm. wiejska Żagań ).</w:t>
      </w:r>
      <w:bookmarkStart w:id="10" w:name="_Toc162422611"/>
    </w:p>
    <w:p>
      <w:pPr>
        <w:pStyle w:val="ListParagraph"/>
        <w:suppressAutoHyphens w:val="false"/>
        <w:ind w:left="360" w:hanging="0"/>
        <w:jc w:val="left"/>
        <w:rPr>
          <w:szCs w:val="24"/>
        </w:rPr>
      </w:pPr>
      <w:r>
        <w:rPr>
          <w:szCs w:val="24"/>
        </w:rPr>
      </w:r>
    </w:p>
    <w:p>
      <w:pPr>
        <w:pStyle w:val="ListParagraph"/>
        <w:suppressAutoHyphens w:val="false"/>
        <w:ind w:left="360" w:hanging="0"/>
        <w:jc w:val="left"/>
        <w:rPr/>
      </w:pPr>
      <w:r>
        <w:rPr>
          <w:u w:val="single"/>
        </w:rPr>
        <w:t>Osoby o niskich kwalifikacjach</w:t>
      </w:r>
      <w:r>
        <w:rPr/>
        <w:t xml:space="preserve"> to osoby z poziomu ISCED 0-3 (włącznie). Poziom wykształcenia określa się na poziomie ukończenia danego typu szkół.</w:t>
      </w:r>
    </w:p>
    <w:p>
      <w:pPr>
        <w:pStyle w:val="ListParagraph"/>
        <w:numPr>
          <w:ilvl w:val="0"/>
          <w:numId w:val="18"/>
        </w:numPr>
        <w:suppressAutoHyphens w:val="false"/>
        <w:jc w:val="left"/>
        <w:rPr/>
      </w:pPr>
      <w:r>
        <w:rPr>
          <w:b/>
        </w:rPr>
        <w:t>ISCED 1</w:t>
      </w:r>
      <w:r>
        <w:rPr/>
        <w:t xml:space="preserve"> wykształcenie podstawowe - szkoła podstawowa</w:t>
      </w:r>
    </w:p>
    <w:p>
      <w:pPr>
        <w:pStyle w:val="ListParagraph"/>
        <w:numPr>
          <w:ilvl w:val="0"/>
          <w:numId w:val="18"/>
        </w:numPr>
        <w:suppressAutoHyphens w:val="false"/>
        <w:jc w:val="left"/>
        <w:rPr/>
      </w:pPr>
      <w:r>
        <w:rPr>
          <w:b/>
        </w:rPr>
        <w:t>ISCED 2</w:t>
      </w:r>
      <w:r>
        <w:rPr/>
        <w:t xml:space="preserve"> wykształcenie gimnazjalne – gimnazjum</w:t>
      </w:r>
    </w:p>
    <w:p>
      <w:pPr>
        <w:pStyle w:val="ListParagraph"/>
        <w:numPr>
          <w:ilvl w:val="0"/>
          <w:numId w:val="18"/>
        </w:numPr>
        <w:suppressAutoHyphens w:val="false"/>
        <w:jc w:val="left"/>
        <w:rPr/>
      </w:pPr>
      <w:r>
        <w:rPr>
          <w:b/>
        </w:rPr>
        <w:t>ISCED 3</w:t>
      </w:r>
      <w:r>
        <w:rPr/>
        <w:t xml:space="preserve"> wykształcenie ponadgimnazjalne – liceum, liceum profilowane, technikum, technikum uzupełniające, zasadnicza szkoła zawodowa</w:t>
      </w:r>
    </w:p>
    <w:p>
      <w:pPr>
        <w:pStyle w:val="Nagwek11"/>
        <w:jc w:val="left"/>
        <w:rPr/>
      </w:pPr>
      <w:bookmarkStart w:id="11" w:name="_Toc163484299"/>
      <w:r>
        <w:rPr/>
        <w:t>Rozdział V PODMIOTY UPRAWNIONE DO UBIEGANIA SIĘ O GRANT</w:t>
      </w:r>
      <w:bookmarkEnd w:id="10"/>
      <w:bookmarkEnd w:id="11"/>
    </w:p>
    <w:p>
      <w:pPr>
        <w:pStyle w:val="Normal"/>
        <w:widowControl w:val="false"/>
        <w:spacing w:lineRule="auto" w:line="240" w:before="0" w:after="0"/>
        <w:jc w:val="left"/>
        <w:rPr>
          <w:rFonts w:cs="Arial"/>
          <w:szCs w:val="24"/>
        </w:rPr>
      </w:pPr>
      <w:r>
        <w:rPr>
          <w:rFonts w:cs="Arial"/>
          <w:b/>
          <w:szCs w:val="24"/>
        </w:rPr>
        <w:t>Podmiotami uprawnionymi do złożenia Wniosku i realizacji projektu objętego grantem</w:t>
      </w:r>
      <w:r>
        <w:rPr>
          <w:rFonts w:cs="Arial"/>
          <w:szCs w:val="24"/>
        </w:rPr>
        <w:t>, zgodnie z LSR są:</w:t>
      </w:r>
    </w:p>
    <w:p>
      <w:pPr>
        <w:pStyle w:val="ListParagraph"/>
        <w:widowControl w:val="false"/>
        <w:numPr>
          <w:ilvl w:val="0"/>
          <w:numId w:val="2"/>
        </w:numPr>
        <w:spacing w:lineRule="auto" w:line="240" w:before="0" w:after="0"/>
        <w:ind w:left="709" w:hanging="283"/>
        <w:contextualSpacing/>
        <w:jc w:val="left"/>
        <w:rPr>
          <w:color w:val="000000"/>
        </w:rPr>
      </w:pPr>
      <w:r>
        <w:rPr>
          <w:rFonts w:cs="Arial"/>
          <w:color w:val="000000"/>
          <w:szCs w:val="24"/>
        </w:rPr>
        <w:t>jednostki samorządu terytorialnego (JST), ich związki oraz stowarzyszenia, organizacje non profit,</w:t>
      </w:r>
    </w:p>
    <w:p>
      <w:pPr>
        <w:pStyle w:val="ListParagraph"/>
        <w:widowControl w:val="false"/>
        <w:numPr>
          <w:ilvl w:val="0"/>
          <w:numId w:val="2"/>
        </w:numPr>
        <w:spacing w:lineRule="auto" w:line="240" w:before="0" w:after="0"/>
        <w:ind w:left="709" w:hanging="283"/>
        <w:contextualSpacing/>
        <w:jc w:val="left"/>
        <w:rPr>
          <w:b w:val="false"/>
          <w:b w:val="false"/>
          <w:bCs w:val="false"/>
          <w:color w:val="000000"/>
        </w:rPr>
      </w:pPr>
      <w:r>
        <w:rPr>
          <w:rFonts w:cs="Arial"/>
          <w:b w:val="false"/>
          <w:bCs w:val="false"/>
          <w:color w:val="000000"/>
          <w:szCs w:val="24"/>
        </w:rPr>
        <w:t>jednostki organizacyjne JST posiadające osobowość prawną a w przypadku braku osobowości prawnej, Wnioskodawcą jest JST/jednostka z pełnomocnictwem do podpisania umowy,</w:t>
      </w:r>
    </w:p>
    <w:p>
      <w:pPr>
        <w:pStyle w:val="ListParagraph"/>
        <w:widowControl w:val="false"/>
        <w:numPr>
          <w:ilvl w:val="0"/>
          <w:numId w:val="2"/>
        </w:numPr>
        <w:spacing w:lineRule="auto" w:line="240" w:before="0" w:after="0"/>
        <w:ind w:left="709" w:hanging="283"/>
        <w:contextualSpacing/>
        <w:jc w:val="left"/>
        <w:rPr>
          <w:b w:val="false"/>
          <w:b w:val="false"/>
          <w:bCs w:val="false"/>
          <w:color w:val="000000"/>
        </w:rPr>
      </w:pPr>
      <w:r>
        <w:rPr>
          <w:rFonts w:cs="Arial"/>
          <w:b w:val="false"/>
          <w:bCs w:val="false"/>
          <w:color w:val="000000"/>
          <w:szCs w:val="24"/>
        </w:rPr>
        <w:t>organizacje pozarządowe,</w:t>
      </w:r>
    </w:p>
    <w:p>
      <w:pPr>
        <w:pStyle w:val="ListParagraph"/>
        <w:widowControl w:val="false"/>
        <w:numPr>
          <w:ilvl w:val="0"/>
          <w:numId w:val="2"/>
        </w:numPr>
        <w:spacing w:lineRule="auto" w:line="240" w:before="0" w:after="0"/>
        <w:ind w:left="709" w:hanging="283"/>
        <w:contextualSpacing/>
        <w:jc w:val="left"/>
        <w:rPr>
          <w:color w:val="000000"/>
        </w:rPr>
      </w:pPr>
      <w:r>
        <w:rPr>
          <w:rFonts w:cs="Arial"/>
          <w:color w:val="000000"/>
          <w:szCs w:val="24"/>
        </w:rPr>
        <w:t>przedsiębiorstwa (MŚP) i ich związki i stowarzyszenia w tym osoby fizyczne prowadzące działalność gospodarczą,</w:t>
      </w:r>
    </w:p>
    <w:p>
      <w:pPr>
        <w:pStyle w:val="ListParagraph"/>
        <w:widowControl w:val="false"/>
        <w:numPr>
          <w:ilvl w:val="0"/>
          <w:numId w:val="2"/>
        </w:numPr>
        <w:spacing w:lineRule="auto" w:line="240" w:before="0" w:after="0"/>
        <w:ind w:left="709" w:hanging="283"/>
        <w:contextualSpacing/>
        <w:jc w:val="left"/>
        <w:rPr>
          <w:color w:val="000000"/>
        </w:rPr>
      </w:pPr>
      <w:r>
        <w:rPr>
          <w:rFonts w:cs="Arial"/>
          <w:color w:val="000000"/>
          <w:szCs w:val="24"/>
        </w:rPr>
        <w:t>szkoły, przedszkola i placówki (w rozumieniu ustawy o systemie oświaty) i ich organy prowadzące,</w:t>
      </w:r>
    </w:p>
    <w:p>
      <w:pPr>
        <w:pStyle w:val="ListParagraph"/>
        <w:widowControl w:val="false"/>
        <w:numPr>
          <w:ilvl w:val="0"/>
          <w:numId w:val="2"/>
        </w:numPr>
        <w:spacing w:lineRule="auto" w:line="240" w:before="0" w:after="0"/>
        <w:ind w:left="709" w:hanging="283"/>
        <w:contextualSpacing/>
        <w:jc w:val="left"/>
        <w:rPr>
          <w:color w:val="000000"/>
        </w:rPr>
      </w:pPr>
      <w:r>
        <w:rPr>
          <w:rFonts w:cs="Arial"/>
          <w:color w:val="000000"/>
          <w:szCs w:val="24"/>
        </w:rPr>
        <w:t>osoby fizyczne prowadzące działalność oświatową na podstawie odrębnych przepisów,</w:t>
      </w:r>
    </w:p>
    <w:p>
      <w:pPr>
        <w:pStyle w:val="ListParagraph"/>
        <w:widowControl w:val="false"/>
        <w:numPr>
          <w:ilvl w:val="0"/>
          <w:numId w:val="2"/>
        </w:numPr>
        <w:spacing w:lineRule="auto" w:line="240" w:before="0" w:after="0"/>
        <w:ind w:left="709" w:hanging="283"/>
        <w:contextualSpacing/>
        <w:jc w:val="left"/>
        <w:rPr>
          <w:color w:val="000000"/>
        </w:rPr>
      </w:pPr>
      <w:r>
        <w:rPr>
          <w:rFonts w:cs="Arial"/>
          <w:color w:val="000000"/>
          <w:szCs w:val="24"/>
        </w:rPr>
        <w:t>podmioty ekonomii społecznej,</w:t>
      </w:r>
    </w:p>
    <w:p>
      <w:pPr>
        <w:pStyle w:val="ListParagraph"/>
        <w:widowControl w:val="false"/>
        <w:numPr>
          <w:ilvl w:val="0"/>
          <w:numId w:val="2"/>
        </w:numPr>
        <w:spacing w:lineRule="auto" w:line="240" w:before="0" w:after="0"/>
        <w:ind w:left="709" w:hanging="283"/>
        <w:contextualSpacing/>
        <w:jc w:val="left"/>
        <w:rPr>
          <w:color w:val="000000"/>
        </w:rPr>
      </w:pPr>
      <w:r>
        <w:rPr>
          <w:rFonts w:cs="Arial"/>
          <w:color w:val="000000"/>
          <w:szCs w:val="24"/>
        </w:rPr>
        <w:t>uczelnie wyższe i ich spółki.</w:t>
      </w:r>
    </w:p>
    <w:p>
      <w:pPr>
        <w:pStyle w:val="Normal"/>
        <w:widowControl w:val="false"/>
        <w:spacing w:lineRule="auto" w:line="240" w:before="0" w:after="0"/>
        <w:jc w:val="left"/>
        <w:rPr>
          <w:rFonts w:cs="Arial"/>
          <w:szCs w:val="24"/>
        </w:rPr>
      </w:pPr>
      <w:r>
        <w:rPr>
          <w:rFonts w:cs="Arial"/>
          <w:szCs w:val="24"/>
        </w:rPr>
      </w:r>
    </w:p>
    <w:p>
      <w:pPr>
        <w:pStyle w:val="Normal"/>
        <w:spacing w:before="0" w:after="0"/>
        <w:jc w:val="left"/>
        <w:rPr>
          <w:b/>
          <w:b/>
          <w:bCs/>
          <w:szCs w:val="24"/>
        </w:rPr>
      </w:pPr>
      <w:r>
        <w:rPr>
          <w:b/>
          <w:bCs/>
          <w:szCs w:val="24"/>
        </w:rPr>
        <w:t>Grantu nie mogą otrzymać podmioty:</w:t>
      </w:r>
    </w:p>
    <w:p>
      <w:pPr>
        <w:pStyle w:val="ListParagraph"/>
        <w:numPr>
          <w:ilvl w:val="0"/>
          <w:numId w:val="15"/>
        </w:numPr>
        <w:suppressAutoHyphens w:val="false"/>
        <w:spacing w:before="0" w:after="0"/>
        <w:contextualSpacing/>
        <w:jc w:val="left"/>
        <w:rPr>
          <w:szCs w:val="24"/>
        </w:rPr>
      </w:pPr>
      <w:r>
        <w:rPr>
          <w:szCs w:val="24"/>
        </w:rPr>
        <w:t>które zostały wykluczone z możliwości otrzymania środków przeznaczonych na realizację programów finansowanych z udziałem środków europejskich, na podstawie art. 207 ustawy o finansach publicznych;</w:t>
      </w:r>
    </w:p>
    <w:p>
      <w:pPr>
        <w:pStyle w:val="ListParagraph"/>
        <w:numPr>
          <w:ilvl w:val="0"/>
          <w:numId w:val="15"/>
        </w:numPr>
        <w:suppressAutoHyphens w:val="false"/>
        <w:spacing w:before="0" w:after="0"/>
        <w:contextualSpacing/>
        <w:jc w:val="left"/>
        <w:rPr>
          <w:szCs w:val="24"/>
        </w:rPr>
      </w:pPr>
      <w:r>
        <w:rPr>
          <w:szCs w:val="24"/>
        </w:rPr>
        <w:t>na których ciąży obowiązek zwrotu pomocy wynikający z decyzji KE uznającej pomoc za niezgodną z prawem oraz ze wspólnym rynkiem w rozumieniu art. 107 TFUE (dotyczy projektów objętych pomocą państwa, dla których warunek został uwzględniony w programie pomocowym);</w:t>
      </w:r>
    </w:p>
    <w:p>
      <w:pPr>
        <w:pStyle w:val="ListParagraph"/>
        <w:numPr>
          <w:ilvl w:val="0"/>
          <w:numId w:val="15"/>
        </w:numPr>
        <w:suppressAutoHyphens w:val="false"/>
        <w:spacing w:before="0" w:after="0"/>
        <w:contextualSpacing/>
        <w:jc w:val="left"/>
        <w:rPr>
          <w:szCs w:val="24"/>
        </w:rPr>
      </w:pPr>
      <w:r>
        <w:rPr>
          <w:szCs w:val="24"/>
        </w:rPr>
        <w:t>karane na mocy zapisów ustawy z dnia 15 czerwca 2012 r. o skutkach powierzania wykonywania pracy cudzoziemcom przebywającym wbrew przepisom na terytorium Rzeczpospolitej Polskiej, zakazem dostępu do środków, o których mowa w art. 5 ust. 3 pkt 1 i 4 ustawy o finansach publicznych;</w:t>
      </w:r>
    </w:p>
    <w:p>
      <w:pPr>
        <w:pStyle w:val="ListParagraph"/>
        <w:numPr>
          <w:ilvl w:val="0"/>
          <w:numId w:val="15"/>
        </w:numPr>
        <w:suppressAutoHyphens w:val="false"/>
        <w:spacing w:before="0" w:after="0"/>
        <w:contextualSpacing/>
        <w:jc w:val="left"/>
        <w:rPr>
          <w:szCs w:val="24"/>
        </w:rPr>
      </w:pPr>
      <w:r>
        <w:rPr>
          <w:szCs w:val="24"/>
        </w:rPr>
        <w:t>jednostki samorządu terytorialnego, które podjęły jakiekolwiek działania dyskryminujące, sprzeczne z zasadami, o których mowa w art. 9 ust. 3 rozporządzenia ogólnego, jak również podmioty kontrolowane lub zależne od tych jednostek;</w:t>
      </w:r>
    </w:p>
    <w:p>
      <w:pPr>
        <w:pStyle w:val="ListParagraph"/>
        <w:numPr>
          <w:ilvl w:val="0"/>
          <w:numId w:val="15"/>
        </w:numPr>
        <w:suppressAutoHyphens w:val="false"/>
        <w:spacing w:before="0" w:after="0"/>
        <w:contextualSpacing/>
        <w:jc w:val="left"/>
        <w:rPr>
          <w:szCs w:val="24"/>
        </w:rPr>
      </w:pPr>
      <w:r>
        <w:rPr>
          <w:szCs w:val="24"/>
        </w:rPr>
        <w:t>karane na podstawie art. 9 ust. 1 pkt 2a ustawy z dnia 28 października 2002 r. o odpowiedzialności podmiotów zbiorowych za czyny zabronione pod groźbą kary;</w:t>
      </w:r>
    </w:p>
    <w:p>
      <w:pPr>
        <w:pStyle w:val="ListParagraph"/>
        <w:numPr>
          <w:ilvl w:val="0"/>
          <w:numId w:val="15"/>
        </w:numPr>
        <w:suppressAutoHyphens w:val="false"/>
        <w:spacing w:before="0" w:after="0"/>
        <w:contextualSpacing/>
        <w:jc w:val="left"/>
        <w:rPr>
          <w:szCs w:val="24"/>
        </w:rPr>
      </w:pPr>
      <w:r>
        <w:rPr>
          <w:szCs w:val="24"/>
        </w:rPr>
        <w:t xml:space="preserve">które są osobą fizyczną lub prawną lub powiązaną z nimi osobą fizyczną lub prawną wymienioną w załączniku I do Rozporządzenia Rady (UE) nr 269/2014 z dnia 17 marca 2014 r. w sprawie środków ograniczających w odniesieniu do działań podważających integralność terytorialną, suwerenność i niezależność Ukrainy lub im zagrażających (ww. osoby i podmioty objęte są również decyzjami Ministra Spraw Wewnętrznych i Administracji ws. wpisu na listę osób i podmiotów, wobec których stosowane są środki, o których mowa w ustawie o szczególnych rozwiązaniach w zakresie przeciwdziałania wspieraniu agresji na Ukrainę oraz służących ochronie bezpieczeństwa narodowego. </w:t>
      </w:r>
    </w:p>
    <w:p>
      <w:pPr>
        <w:pStyle w:val="Nagwek11"/>
        <w:jc w:val="left"/>
        <w:rPr/>
      </w:pPr>
      <w:bookmarkStart w:id="12" w:name="_Toc163484300"/>
      <w:bookmarkStart w:id="13" w:name="_Toc162422612"/>
      <w:r>
        <w:rPr/>
        <w:t>Rozdział VI ZAKRESY WSPARCIA NA WDRAŻANIE LSR, KTÓRYCH DOTYCZY NABÓR WNIOSKÓW</w:t>
      </w:r>
      <w:bookmarkEnd w:id="12"/>
      <w:bookmarkEnd w:id="13"/>
    </w:p>
    <w:p>
      <w:pPr>
        <w:pStyle w:val="Normal"/>
        <w:jc w:val="left"/>
        <w:rPr>
          <w:szCs w:val="24"/>
        </w:rPr>
      </w:pPr>
      <w:r>
        <w:rPr>
          <w:szCs w:val="24"/>
        </w:rPr>
        <w:t>Główne działania planowane do realizacji powinny polegać na zmniejszeniu dysproporcji w poziomie wykształcenia osób dorosłych, zwłaszcza pochodzących z terenów wiejskich zgodnych z LSR LGD BD.</w:t>
      </w:r>
    </w:p>
    <w:p>
      <w:pPr>
        <w:pStyle w:val="Normal"/>
        <w:jc w:val="left"/>
        <w:rPr>
          <w:szCs w:val="24"/>
        </w:rPr>
      </w:pPr>
      <w:r>
        <w:rPr>
          <w:szCs w:val="24"/>
        </w:rPr>
        <w:t>Celem działania jest zwiększenie aktywności w kształceniu ustawicznym, realizacja idei uczenia się przez całe życie, a także wyrównanie dysproporcji w poziomie wykształcenia osób dorosłych zwłaszcza na terenach wiejskich i miejskich zagrożonych degradacją. Ponadto poprzez realizację projektów planuje się umożliwienie uczestnikom nabycia nowych lub podniesienia posiadanych już kompetencji. Powyższe spowoduje zmniejszenie dysproporcji w poziomie wykształcenia osób dorosłych pochodzących z terenów wiejskich, zwiększenie szans na rynku pracy oraz na zatrudnienie lub utrzymanie miejsca pracy, a także da możliwość dostępu do miejsc pracy o lepszych warunkach. Interwencja w tym obszarze ma na celu popularyzację podnoszenia kwalifikacji wśród dorosłych mieszkańców regionu.</w:t>
      </w:r>
    </w:p>
    <w:p>
      <w:pPr>
        <w:pStyle w:val="Normal"/>
        <w:jc w:val="left"/>
        <w:rPr>
          <w:szCs w:val="24"/>
        </w:rPr>
      </w:pPr>
      <w:r>
        <w:rPr>
          <w:szCs w:val="24"/>
        </w:rPr>
        <w:t>Projekt może być realizowany poprzez: audyt umiejętności (posiadanych umiejętności i potrzeb w zakresie ich poprawy), dopasowanych i elastycznych ofert uczenia się, zgodnych z wynikami audytu umiejętności, wdrożeniu działań powiązanych z Zintegrowana Strategią Umiejętności 2030. Typ wsparcia umożliwia wsparcie lokalnych inicjatyw na rzecz uczenia się osób dorosłych przy wykorzystaniu dobrych praktyk z modelu LOWE (Lokalne Ośrodki Wsparcia Edukacji) wypracowanych w POWER.</w:t>
      </w:r>
    </w:p>
    <w:p>
      <w:pPr>
        <w:pStyle w:val="Normal"/>
        <w:spacing w:before="0" w:after="60"/>
        <w:jc w:val="left"/>
        <w:rPr/>
      </w:pPr>
      <w:r>
        <w:rPr/>
        <w:t xml:space="preserve"> </w:t>
      </w:r>
      <w:r>
        <w:rPr/>
        <w:t>W ramach realizacji projektu objętego grantem możliwe do realizacji są:</w:t>
      </w:r>
    </w:p>
    <w:p>
      <w:pPr>
        <w:pStyle w:val="ListParagraph"/>
        <w:numPr>
          <w:ilvl w:val="0"/>
          <w:numId w:val="3"/>
        </w:numPr>
        <w:jc w:val="left"/>
        <w:rPr/>
      </w:pPr>
      <w:r>
        <w:rPr/>
        <w:t>Działania realizujące ideę uczenia się przez całe życie wspierające nabywanie, rozwijanie i podnoszenie umiejętności lub kompetencji podstawowych.</w:t>
      </w:r>
    </w:p>
    <w:p>
      <w:pPr>
        <w:pStyle w:val="ListParagraph"/>
        <w:numPr>
          <w:ilvl w:val="0"/>
          <w:numId w:val="3"/>
        </w:numPr>
        <w:jc w:val="left"/>
        <w:rPr/>
      </w:pPr>
      <w:r>
        <w:rPr/>
        <w:t>Wsparcie w rozwijaniu kompetencji, umiejętności, uzdolnień oraz zainteresowań  (warsztaty ekologiczne, zdrowe odżywianie, podstawowa obsługa komputera, poruszanie się po internecie, zwiększenie możliwości utrzymywania relacji społecznych poprzez umiejętne i świadome użytkowanie mass mediów i komunikatorów, poruszanie się po e-urzędach i wypełnianie druków formularzy i podań on-line, bezpieczeństwo w sieci, cyfrowe wsparcie dla seniorów itp.).</w:t>
      </w:r>
    </w:p>
    <w:p>
      <w:pPr>
        <w:pStyle w:val="ListParagraph"/>
        <w:numPr>
          <w:ilvl w:val="0"/>
          <w:numId w:val="3"/>
        </w:numPr>
        <w:jc w:val="left"/>
        <w:rPr/>
      </w:pPr>
      <w:r>
        <w:rPr/>
        <w:t>Utworzenie lokalnych punktów wsparcia.</w:t>
      </w:r>
    </w:p>
    <w:p>
      <w:pPr>
        <w:pStyle w:val="Normal"/>
        <w:jc w:val="left"/>
        <w:rPr/>
      </w:pPr>
      <w:r>
        <w:rPr/>
        <w:t xml:space="preserve">Wszelkie działania powinny mieć charakter zindywidualizowany, dostosowany do  potrzeb lokalnej społeczności oraz umożliwiający zaktywizowanie osób – uzupełnienie, zmianę lub podwyższenie ich kwalifikacji, co pozwoli na przywrócenie ich na rynek pracy, zwiększenie pewności siebie i własnych umiejętności, a także zwiększenie uczestnictwa w życiu społecznym. </w:t>
      </w:r>
    </w:p>
    <w:p>
      <w:pPr>
        <w:pStyle w:val="Nagwek11"/>
        <w:jc w:val="left"/>
        <w:rPr/>
      </w:pPr>
      <w:bookmarkStart w:id="14" w:name="_Toc163484301"/>
      <w:bookmarkStart w:id="15" w:name="_Toc162422613"/>
      <w:r>
        <w:rPr/>
        <w:t>Rozdział VII ALOKACJA, SPOSÓB SZACOWANIA GRANTU I FORMA FINANSOWANIA</w:t>
      </w:r>
      <w:bookmarkEnd w:id="14"/>
      <w:bookmarkEnd w:id="15"/>
    </w:p>
    <w:p>
      <w:pPr>
        <w:pStyle w:val="Nagwek21"/>
        <w:spacing w:before="200" w:after="120"/>
        <w:rPr/>
      </w:pPr>
      <w:bookmarkStart w:id="16" w:name="_Toc163484302"/>
      <w:r>
        <w:rPr/>
        <w:t>1. Limity środków przeznaczonych na udzielenie wsparcia w ramach projektu grantowego</w:t>
      </w:r>
      <w:bookmarkEnd w:id="16"/>
    </w:p>
    <w:p>
      <w:pPr>
        <w:pStyle w:val="Normal"/>
        <w:spacing w:before="200" w:after="120"/>
        <w:rPr>
          <w:b/>
          <w:b/>
          <w:bCs/>
        </w:rPr>
      </w:pPr>
      <w:r>
        <w:rPr>
          <w:b/>
          <w:bCs/>
        </w:rPr>
        <w:t>a) gmina wiejska Żary:</w:t>
      </w:r>
    </w:p>
    <w:tbl>
      <w:tblPr>
        <w:tblStyle w:val="Tabela-Siatka"/>
        <w:tblW w:w="833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205"/>
        <w:gridCol w:w="2124"/>
      </w:tblGrid>
      <w:tr>
        <w:trPr>
          <w:trHeight w:val="348" w:hRule="atLeast"/>
        </w:trPr>
        <w:tc>
          <w:tcPr>
            <w:tcW w:w="6205"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eastAsia="Calibri" w:cs="Times New Roman"/>
                <w:kern w:val="0"/>
                <w:sz w:val="22"/>
                <w:szCs w:val="22"/>
                <w:lang w:val="pl-PL" w:bidi="ar-SA"/>
              </w:rPr>
              <w:t>Kwota przeznaczona na dofinansowanie projektów w naborze</w:t>
            </w:r>
          </w:p>
        </w:tc>
        <w:tc>
          <w:tcPr>
            <w:tcW w:w="2124"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cs="Times New Roman"/>
                <w:sz w:val="22"/>
              </w:rPr>
            </w:r>
          </w:p>
          <w:p>
            <w:pPr>
              <w:pStyle w:val="Normal"/>
              <w:widowControl w:val="false"/>
              <w:suppressAutoHyphens w:val="true"/>
              <w:spacing w:lineRule="auto" w:line="360" w:before="0" w:after="0"/>
              <w:rPr>
                <w:rFonts w:cs="Times New Roman"/>
              </w:rPr>
            </w:pPr>
            <w:r>
              <w:rPr>
                <w:rFonts w:cs="Times New Roman"/>
                <w:sz w:val="22"/>
              </w:rPr>
            </w:r>
          </w:p>
        </w:tc>
      </w:tr>
      <w:tr>
        <w:trPr/>
        <w:tc>
          <w:tcPr>
            <w:tcW w:w="6205"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Maksymalna wartość dofinansowania projektu objętego grantem [zł]</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87 335,10zł</w:t>
            </w:r>
          </w:p>
        </w:tc>
      </w:tr>
      <w:tr>
        <w:trPr/>
        <w:tc>
          <w:tcPr>
            <w:tcW w:w="6205"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Maksymalny poziom dofinansowania wydatków kwalifikowalnych projektu objętego grantem</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95%</w:t>
            </w:r>
          </w:p>
        </w:tc>
      </w:tr>
      <w:tr>
        <w:trPr/>
        <w:tc>
          <w:tcPr>
            <w:tcW w:w="6205"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Minimalny poziom wymaganego wkładu własnego – finansowego i/lub niefinansowego  </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5%</w:t>
            </w:r>
          </w:p>
        </w:tc>
      </w:tr>
      <w:tr>
        <w:trPr>
          <w:trHeight w:val="214" w:hRule="atLeast"/>
        </w:trPr>
        <w:tc>
          <w:tcPr>
            <w:tcW w:w="6205"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Maksymalny koszt jednostkowy na osobę</w:t>
            </w:r>
          </w:p>
          <w:p>
            <w:pPr>
              <w:pStyle w:val="Normal"/>
              <w:widowControl w:val="false"/>
              <w:suppressAutoHyphens w:val="true"/>
              <w:spacing w:before="0" w:after="0"/>
              <w:rPr>
                <w:rFonts w:cs="Times New Roman"/>
              </w:rPr>
            </w:pPr>
            <w:r>
              <w:rPr>
                <w:rFonts w:eastAsia="Calibri" w:cs="Times New Roman"/>
                <w:kern w:val="0"/>
                <w:sz w:val="22"/>
                <w:szCs w:val="22"/>
                <w:lang w:val="pl-PL" w:bidi="ar-SA"/>
              </w:rPr>
              <w:t>[zł]</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14 555,85zł</w:t>
            </w:r>
          </w:p>
        </w:tc>
      </w:tr>
    </w:tbl>
    <w:p>
      <w:pPr>
        <w:pStyle w:val="Normal"/>
        <w:spacing w:before="120" w:after="200"/>
        <w:rPr/>
      </w:pPr>
      <w:r>
        <w:rPr/>
        <w:t>*Wartość projektu grantowego = dofinansowanie + wkład własnych</w:t>
      </w:r>
    </w:p>
    <w:p>
      <w:pPr>
        <w:pStyle w:val="Normal"/>
        <w:spacing w:before="120" w:after="200"/>
        <w:rPr>
          <w:b/>
          <w:b/>
          <w:bCs/>
        </w:rPr>
      </w:pPr>
      <w:r>
        <w:rPr>
          <w:b/>
          <w:bCs/>
        </w:rPr>
        <w:t>b) gmina Przewóz:</w:t>
      </w:r>
    </w:p>
    <w:tbl>
      <w:tblPr>
        <w:tblStyle w:val="Tabela-Siatka"/>
        <w:tblW w:w="8330"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6205"/>
        <w:gridCol w:w="2124"/>
      </w:tblGrid>
      <w:tr>
        <w:trPr>
          <w:trHeight w:val="348" w:hRule="atLeast"/>
        </w:trPr>
        <w:tc>
          <w:tcPr>
            <w:tcW w:w="6205"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eastAsia="Calibri" w:cs="Times New Roman"/>
                <w:kern w:val="0"/>
                <w:sz w:val="22"/>
                <w:szCs w:val="22"/>
                <w:lang w:val="pl-PL" w:bidi="ar-SA"/>
              </w:rPr>
              <w:t>Kwota przeznaczona na dofinansowanie projektów w naborze</w:t>
            </w:r>
          </w:p>
        </w:tc>
        <w:tc>
          <w:tcPr>
            <w:tcW w:w="2124"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cs="Times New Roman"/>
                <w:sz w:val="22"/>
              </w:rPr>
            </w:r>
          </w:p>
          <w:p>
            <w:pPr>
              <w:pStyle w:val="Normal"/>
              <w:widowControl w:val="false"/>
              <w:suppressAutoHyphens w:val="true"/>
              <w:spacing w:lineRule="auto" w:line="360" w:before="0" w:after="0"/>
              <w:rPr>
                <w:rFonts w:cs="Times New Roman"/>
              </w:rPr>
            </w:pPr>
            <w:r>
              <w:rPr>
                <w:rFonts w:cs="Times New Roman"/>
                <w:sz w:val="22"/>
              </w:rPr>
            </w:r>
          </w:p>
        </w:tc>
      </w:tr>
      <w:tr>
        <w:trPr/>
        <w:tc>
          <w:tcPr>
            <w:tcW w:w="6205"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Maksymalna wartość dofinansowania projektu objętego grantem [zł]</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87 335,10zł</w:t>
            </w:r>
          </w:p>
        </w:tc>
      </w:tr>
      <w:tr>
        <w:trPr/>
        <w:tc>
          <w:tcPr>
            <w:tcW w:w="6205"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Maksymalny poziom dofinansowania wydatków kwalifikowalnych projektu objętego grantem </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95%</w:t>
            </w:r>
          </w:p>
        </w:tc>
      </w:tr>
      <w:tr>
        <w:trPr/>
        <w:tc>
          <w:tcPr>
            <w:tcW w:w="6205"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Minimalny poziom wymaganego wkładu własnego – finansowego i/lub niefinansowego  </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5%</w:t>
            </w:r>
          </w:p>
        </w:tc>
      </w:tr>
      <w:tr>
        <w:trPr>
          <w:trHeight w:val="214" w:hRule="atLeast"/>
        </w:trPr>
        <w:tc>
          <w:tcPr>
            <w:tcW w:w="6205"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Maksymalny koszt jednostkowy na osobę</w:t>
            </w:r>
          </w:p>
          <w:p>
            <w:pPr>
              <w:pStyle w:val="Normal"/>
              <w:widowControl w:val="false"/>
              <w:suppressAutoHyphens w:val="true"/>
              <w:spacing w:before="0" w:after="0"/>
              <w:rPr>
                <w:rFonts w:cs="Times New Roman"/>
              </w:rPr>
            </w:pPr>
            <w:r>
              <w:rPr>
                <w:rFonts w:eastAsia="Calibri" w:cs="Times New Roman"/>
                <w:kern w:val="0"/>
                <w:sz w:val="22"/>
                <w:szCs w:val="22"/>
                <w:lang w:val="pl-PL" w:bidi="ar-SA"/>
              </w:rPr>
              <w:t>[zł]</w:t>
            </w:r>
          </w:p>
        </w:tc>
        <w:tc>
          <w:tcPr>
            <w:tcW w:w="2124"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14 555,85zł</w:t>
            </w:r>
          </w:p>
        </w:tc>
      </w:tr>
    </w:tbl>
    <w:p>
      <w:pPr>
        <w:pStyle w:val="Normal"/>
        <w:spacing w:before="120" w:after="200"/>
        <w:rPr/>
      </w:pPr>
      <w:r>
        <w:rPr/>
        <w:t>*Wartość projektu grantowego = dofinansowanie + wkład własnych</w:t>
      </w:r>
    </w:p>
    <w:p>
      <w:pPr>
        <w:pStyle w:val="Nagwek21"/>
        <w:rPr/>
      </w:pPr>
      <w:r>
        <w:rPr/>
        <w:t>c) gmina Iłowa:</w:t>
      </w:r>
    </w:p>
    <w:tbl>
      <w:tblPr>
        <w:tblStyle w:val="Tabela-Siatka"/>
        <w:tblW w:w="8298" w:type="dxa"/>
        <w:jc w:val="left"/>
        <w:tblInd w:w="145" w:type="dxa"/>
        <w:tblLayout w:type="fixed"/>
        <w:tblCellMar>
          <w:top w:w="0" w:type="dxa"/>
          <w:left w:w="108" w:type="dxa"/>
          <w:bottom w:w="0" w:type="dxa"/>
          <w:right w:w="108" w:type="dxa"/>
        </w:tblCellMar>
        <w:tblLook w:firstRow="1" w:noVBand="1" w:lastRow="0" w:firstColumn="1" w:lastColumn="0" w:noHBand="0" w:val="04a0"/>
      </w:tblPr>
      <w:tblGrid>
        <w:gridCol w:w="6180"/>
        <w:gridCol w:w="2117"/>
      </w:tblGrid>
      <w:tr>
        <w:trPr>
          <w:trHeight w:val="348" w:hRule="atLeast"/>
        </w:trPr>
        <w:tc>
          <w:tcPr>
            <w:tcW w:w="6180"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eastAsia="Calibri" w:cs="Times New Roman"/>
                <w:kern w:val="0"/>
                <w:sz w:val="22"/>
                <w:szCs w:val="22"/>
                <w:lang w:val="pl-PL" w:bidi="ar-SA"/>
              </w:rPr>
              <w:t>Kwota przeznaczona na dofinansowanie projektów w naborze</w:t>
            </w:r>
          </w:p>
        </w:tc>
        <w:tc>
          <w:tcPr>
            <w:tcW w:w="2117"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cs="Times New Roman"/>
                <w:sz w:val="22"/>
              </w:rPr>
            </w:r>
          </w:p>
          <w:p>
            <w:pPr>
              <w:pStyle w:val="Normal"/>
              <w:widowControl w:val="false"/>
              <w:suppressAutoHyphens w:val="true"/>
              <w:spacing w:lineRule="auto" w:line="360" w:before="0" w:after="0"/>
              <w:rPr>
                <w:rFonts w:cs="Times New Roman"/>
              </w:rPr>
            </w:pPr>
            <w:r>
              <w:rPr>
                <w:rFonts w:cs="Times New Roman"/>
                <w:sz w:val="22"/>
              </w:rPr>
            </w:r>
          </w:p>
        </w:tc>
      </w:tr>
      <w:tr>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Maksymalna wartość dofinansowania projektu objętego grantem [zł]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87 335,10zł</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Maksymalny poziom dofinansowania wydatków kwalifikowalnych projektu objętego grantem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95%</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Minimalny poziom wymaganego wkładu własnego – finansowego i/lub niefinansowego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5%</w:t>
            </w:r>
          </w:p>
        </w:tc>
      </w:tr>
      <w:tr>
        <w:trPr>
          <w:trHeight w:val="214" w:hRule="atLeast"/>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Maksymalny koszt jednostkowy na osobę</w:t>
            </w:r>
          </w:p>
          <w:p>
            <w:pPr>
              <w:pStyle w:val="Normal"/>
              <w:widowControl w:val="false"/>
              <w:suppressAutoHyphens w:val="true"/>
              <w:spacing w:before="0" w:after="0"/>
              <w:rPr>
                <w:rFonts w:cs="Times New Roman"/>
              </w:rPr>
            </w:pPr>
            <w:r>
              <w:rPr>
                <w:rFonts w:eastAsia="Calibri" w:cs="Times New Roman"/>
                <w:kern w:val="0"/>
                <w:sz w:val="22"/>
                <w:szCs w:val="22"/>
                <w:lang w:val="pl-PL" w:bidi="ar-SA"/>
              </w:rPr>
              <w:t>[zł]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14 555,85zł</w:t>
            </w:r>
          </w:p>
        </w:tc>
      </w:tr>
    </w:tbl>
    <w:p>
      <w:pPr>
        <w:pStyle w:val="Normal"/>
        <w:spacing w:before="120" w:after="200"/>
        <w:rPr/>
      </w:pPr>
      <w:r>
        <w:rPr/>
        <w:t>*Wartość projektu grantowego = dofinansowanie + wkład własnych</w:t>
      </w:r>
    </w:p>
    <w:p>
      <w:pPr>
        <w:pStyle w:val="Normal"/>
        <w:spacing w:before="120" w:after="200"/>
        <w:rPr>
          <w:b/>
          <w:b/>
          <w:bCs/>
        </w:rPr>
      </w:pPr>
      <w:r>
        <w:rPr>
          <w:b/>
          <w:bCs/>
        </w:rPr>
        <w:t>d) gmina Małomice:</w:t>
      </w:r>
    </w:p>
    <w:tbl>
      <w:tblPr>
        <w:tblStyle w:val="Tabela-Siatka"/>
        <w:tblW w:w="8298" w:type="dxa"/>
        <w:jc w:val="left"/>
        <w:tblInd w:w="145" w:type="dxa"/>
        <w:tblLayout w:type="fixed"/>
        <w:tblCellMar>
          <w:top w:w="0" w:type="dxa"/>
          <w:left w:w="108" w:type="dxa"/>
          <w:bottom w:w="0" w:type="dxa"/>
          <w:right w:w="108" w:type="dxa"/>
        </w:tblCellMar>
        <w:tblLook w:firstRow="1" w:noVBand="1" w:lastRow="0" w:firstColumn="1" w:lastColumn="0" w:noHBand="0" w:val="04a0"/>
      </w:tblPr>
      <w:tblGrid>
        <w:gridCol w:w="6180"/>
        <w:gridCol w:w="2117"/>
      </w:tblGrid>
      <w:tr>
        <w:trPr>
          <w:trHeight w:val="348" w:hRule="atLeast"/>
        </w:trPr>
        <w:tc>
          <w:tcPr>
            <w:tcW w:w="6180"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eastAsia="Calibri" w:cs="Times New Roman"/>
                <w:kern w:val="0"/>
                <w:sz w:val="22"/>
                <w:szCs w:val="22"/>
                <w:lang w:val="pl-PL" w:bidi="ar-SA"/>
              </w:rPr>
              <w:t>Kwota przeznaczona na dofinansowanie projektów w naborze</w:t>
            </w:r>
          </w:p>
        </w:tc>
        <w:tc>
          <w:tcPr>
            <w:tcW w:w="2117"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cs="Times New Roman"/>
                <w:sz w:val="22"/>
              </w:rPr>
            </w:r>
          </w:p>
          <w:p>
            <w:pPr>
              <w:pStyle w:val="Normal"/>
              <w:widowControl w:val="false"/>
              <w:suppressAutoHyphens w:val="true"/>
              <w:spacing w:lineRule="auto" w:line="360" w:before="0" w:after="0"/>
              <w:rPr>
                <w:rFonts w:cs="Times New Roman"/>
              </w:rPr>
            </w:pPr>
            <w:r>
              <w:rPr>
                <w:rFonts w:cs="Times New Roman"/>
                <w:sz w:val="22"/>
              </w:rPr>
            </w:r>
          </w:p>
        </w:tc>
      </w:tr>
      <w:tr>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Maksymalna wartość dofinansowania projektu objętego grantem [zł]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87 335,10zł</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Maksymalny poziom dofinansowania wydatków kwalifikowalnych projektu objętego grantem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95%</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Minimalny poziom wymaganego wkładu własnego – finansowego i/lub niefinansowego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5%</w:t>
            </w:r>
          </w:p>
        </w:tc>
      </w:tr>
      <w:tr>
        <w:trPr>
          <w:trHeight w:val="214" w:hRule="atLeast"/>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Maksymalny koszt jednostkowy na osobę</w:t>
            </w:r>
          </w:p>
          <w:p>
            <w:pPr>
              <w:pStyle w:val="Normal"/>
              <w:widowControl w:val="false"/>
              <w:suppressAutoHyphens w:val="true"/>
              <w:spacing w:before="0" w:after="0"/>
              <w:rPr>
                <w:rFonts w:cs="Times New Roman"/>
              </w:rPr>
            </w:pPr>
            <w:r>
              <w:rPr>
                <w:rFonts w:eastAsia="Calibri" w:cs="Times New Roman"/>
                <w:kern w:val="0"/>
                <w:sz w:val="22"/>
                <w:szCs w:val="22"/>
                <w:lang w:val="pl-PL" w:bidi="ar-SA"/>
              </w:rPr>
              <w:t>[zł]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14 555,85zł</w:t>
            </w:r>
          </w:p>
        </w:tc>
      </w:tr>
    </w:tbl>
    <w:p>
      <w:pPr>
        <w:pStyle w:val="Normal"/>
        <w:spacing w:before="120" w:after="200"/>
        <w:rPr/>
      </w:pPr>
      <w:r>
        <w:rPr/>
        <w:t>*Wartość projektu grantowego = dofinansowanie + wkład własnych</w:t>
      </w:r>
    </w:p>
    <w:p>
      <w:pPr>
        <w:pStyle w:val="Nagwek21"/>
        <w:rPr/>
      </w:pPr>
      <w:r>
        <w:rPr/>
        <w:t>e) gmina Wymiarki:</w:t>
      </w:r>
    </w:p>
    <w:tbl>
      <w:tblPr>
        <w:tblStyle w:val="Tabela-Siatka"/>
        <w:tblW w:w="8298" w:type="dxa"/>
        <w:jc w:val="left"/>
        <w:tblInd w:w="145" w:type="dxa"/>
        <w:tblLayout w:type="fixed"/>
        <w:tblCellMar>
          <w:top w:w="0" w:type="dxa"/>
          <w:left w:w="108" w:type="dxa"/>
          <w:bottom w:w="0" w:type="dxa"/>
          <w:right w:w="108" w:type="dxa"/>
        </w:tblCellMar>
        <w:tblLook w:firstRow="1" w:noVBand="1" w:lastRow="0" w:firstColumn="1" w:lastColumn="0" w:noHBand="0" w:val="04a0"/>
      </w:tblPr>
      <w:tblGrid>
        <w:gridCol w:w="6180"/>
        <w:gridCol w:w="2117"/>
      </w:tblGrid>
      <w:tr>
        <w:trPr>
          <w:trHeight w:val="348" w:hRule="atLeast"/>
        </w:trPr>
        <w:tc>
          <w:tcPr>
            <w:tcW w:w="6180"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eastAsia="Calibri" w:cs="Times New Roman"/>
                <w:kern w:val="0"/>
                <w:sz w:val="22"/>
                <w:szCs w:val="22"/>
                <w:lang w:val="pl-PL" w:bidi="ar-SA"/>
              </w:rPr>
              <w:t>Kwota przeznaczona na dofinansowanie projektów w naborze</w:t>
            </w:r>
          </w:p>
        </w:tc>
        <w:tc>
          <w:tcPr>
            <w:tcW w:w="2117"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cs="Times New Roman"/>
                <w:sz w:val="22"/>
              </w:rPr>
            </w:r>
          </w:p>
          <w:p>
            <w:pPr>
              <w:pStyle w:val="Normal"/>
              <w:widowControl w:val="false"/>
              <w:suppressAutoHyphens w:val="true"/>
              <w:spacing w:lineRule="auto" w:line="360" w:before="0" w:after="0"/>
              <w:rPr>
                <w:rFonts w:cs="Times New Roman"/>
              </w:rPr>
            </w:pPr>
            <w:r>
              <w:rPr>
                <w:rFonts w:cs="Times New Roman"/>
                <w:sz w:val="22"/>
              </w:rPr>
            </w:r>
          </w:p>
        </w:tc>
      </w:tr>
      <w:tr>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Maksymalna wartość dofinansowania projektu objętego grantem [zł]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87 335,10zł</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Maksymalny poziom dofinansowania wydatków kwalifikowalnych projektu objętego grantem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95%</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Minimalny poziom wymaganego wkładu własnego – finansowego i/lub niefinansowego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5%</w:t>
            </w:r>
          </w:p>
        </w:tc>
      </w:tr>
      <w:tr>
        <w:trPr>
          <w:trHeight w:val="214" w:hRule="atLeast"/>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Maksymalny koszt jednostkowy na osobę</w:t>
            </w:r>
          </w:p>
          <w:p>
            <w:pPr>
              <w:pStyle w:val="Normal"/>
              <w:widowControl w:val="false"/>
              <w:suppressAutoHyphens w:val="true"/>
              <w:spacing w:before="0" w:after="0"/>
              <w:rPr>
                <w:rFonts w:cs="Times New Roman"/>
              </w:rPr>
            </w:pPr>
            <w:r>
              <w:rPr>
                <w:rFonts w:eastAsia="Calibri" w:cs="Times New Roman"/>
                <w:kern w:val="0"/>
                <w:sz w:val="22"/>
                <w:szCs w:val="22"/>
                <w:lang w:val="pl-PL" w:bidi="ar-SA"/>
              </w:rPr>
              <w:t>[zł]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14 555,85zł</w:t>
            </w:r>
          </w:p>
        </w:tc>
      </w:tr>
    </w:tbl>
    <w:p>
      <w:pPr>
        <w:pStyle w:val="Normal"/>
        <w:spacing w:before="120" w:after="200"/>
        <w:rPr/>
      </w:pPr>
      <w:r>
        <w:rPr/>
        <w:t>*Wartość projektu grantowego = dofinansowanie + wkład własnych</w:t>
      </w:r>
    </w:p>
    <w:p>
      <w:pPr>
        <w:pStyle w:val="Normal"/>
        <w:spacing w:before="120" w:after="200"/>
        <w:rPr>
          <w:b/>
          <w:b/>
          <w:bCs/>
        </w:rPr>
      </w:pPr>
      <w:r>
        <w:rPr>
          <w:b/>
          <w:bCs/>
        </w:rPr>
      </w:r>
    </w:p>
    <w:p>
      <w:pPr>
        <w:pStyle w:val="Normal"/>
        <w:spacing w:before="120" w:after="200"/>
        <w:rPr>
          <w:b/>
          <w:b/>
          <w:bCs/>
        </w:rPr>
      </w:pPr>
      <w:r>
        <w:rPr>
          <w:b/>
          <w:bCs/>
        </w:rPr>
      </w:r>
    </w:p>
    <w:p>
      <w:pPr>
        <w:pStyle w:val="Normal"/>
        <w:spacing w:before="120" w:after="200"/>
        <w:rPr>
          <w:b/>
          <w:b/>
          <w:bCs/>
        </w:rPr>
      </w:pPr>
      <w:r>
        <w:rPr>
          <w:b/>
          <w:bCs/>
        </w:rPr>
        <w:t>f) gmina Gozdnica:</w:t>
      </w:r>
    </w:p>
    <w:tbl>
      <w:tblPr>
        <w:tblStyle w:val="Tabela-Siatka"/>
        <w:tblW w:w="8298" w:type="dxa"/>
        <w:jc w:val="left"/>
        <w:tblInd w:w="145" w:type="dxa"/>
        <w:tblLayout w:type="fixed"/>
        <w:tblCellMar>
          <w:top w:w="0" w:type="dxa"/>
          <w:left w:w="108" w:type="dxa"/>
          <w:bottom w:w="0" w:type="dxa"/>
          <w:right w:w="108" w:type="dxa"/>
        </w:tblCellMar>
        <w:tblLook w:firstRow="1" w:noVBand="1" w:lastRow="0" w:firstColumn="1" w:lastColumn="0" w:noHBand="0" w:val="04a0"/>
      </w:tblPr>
      <w:tblGrid>
        <w:gridCol w:w="6180"/>
        <w:gridCol w:w="2117"/>
      </w:tblGrid>
      <w:tr>
        <w:trPr>
          <w:trHeight w:val="348" w:hRule="atLeast"/>
        </w:trPr>
        <w:tc>
          <w:tcPr>
            <w:tcW w:w="6180"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eastAsia="Calibri" w:cs="Times New Roman"/>
                <w:kern w:val="0"/>
                <w:sz w:val="22"/>
                <w:szCs w:val="22"/>
                <w:lang w:val="pl-PL" w:bidi="ar-SA"/>
              </w:rPr>
              <w:t>Kwota przeznaczona na dofinansowanie projektów w naborze</w:t>
            </w:r>
          </w:p>
        </w:tc>
        <w:tc>
          <w:tcPr>
            <w:tcW w:w="2117"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cs="Times New Roman"/>
                <w:sz w:val="22"/>
              </w:rPr>
            </w:r>
          </w:p>
          <w:p>
            <w:pPr>
              <w:pStyle w:val="Normal"/>
              <w:widowControl w:val="false"/>
              <w:suppressAutoHyphens w:val="true"/>
              <w:spacing w:lineRule="auto" w:line="360" w:before="0" w:after="0"/>
              <w:rPr>
                <w:rFonts w:cs="Times New Roman"/>
              </w:rPr>
            </w:pPr>
            <w:r>
              <w:rPr>
                <w:rFonts w:cs="Times New Roman"/>
                <w:sz w:val="22"/>
              </w:rPr>
            </w:r>
          </w:p>
        </w:tc>
      </w:tr>
      <w:tr>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Maksymalna wartość dofinansowania projektu objętego grantem [zł]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87 335,10zł</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Maksymalny poziom dofinansowania wydatków kwalifikowalnych projektu objętego grantem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95%</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Minimalny poziom wymaganego wkładu własnego – finansowego i/lub niefinansowego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5%</w:t>
            </w:r>
          </w:p>
        </w:tc>
      </w:tr>
      <w:tr>
        <w:trPr>
          <w:trHeight w:val="214" w:hRule="atLeast"/>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Maksymalny koszt jednostkowy na osobę</w:t>
            </w:r>
          </w:p>
          <w:p>
            <w:pPr>
              <w:pStyle w:val="Normal"/>
              <w:widowControl w:val="false"/>
              <w:suppressAutoHyphens w:val="true"/>
              <w:spacing w:before="0" w:after="0"/>
              <w:rPr>
                <w:rFonts w:cs="Times New Roman"/>
              </w:rPr>
            </w:pPr>
            <w:r>
              <w:rPr>
                <w:rFonts w:eastAsia="Calibri" w:cs="Times New Roman"/>
                <w:kern w:val="0"/>
                <w:sz w:val="22"/>
                <w:szCs w:val="22"/>
                <w:lang w:val="pl-PL" w:bidi="ar-SA"/>
              </w:rPr>
              <w:t>[zł]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14 555,85zł</w:t>
            </w:r>
          </w:p>
        </w:tc>
      </w:tr>
    </w:tbl>
    <w:p>
      <w:pPr>
        <w:pStyle w:val="Normal"/>
        <w:spacing w:before="120" w:after="200"/>
        <w:rPr/>
      </w:pPr>
      <w:r>
        <w:rPr/>
        <w:t>*Wartość projektu grantowego = dofinansowanie + wkład własnych</w:t>
      </w:r>
    </w:p>
    <w:p>
      <w:pPr>
        <w:pStyle w:val="Nagwek21"/>
        <w:rPr/>
      </w:pPr>
      <w:r>
        <w:rPr/>
        <w:t>g) gmina wiejska Żagań:</w:t>
      </w:r>
    </w:p>
    <w:tbl>
      <w:tblPr>
        <w:tblStyle w:val="Tabela-Siatka"/>
        <w:tblW w:w="8298" w:type="dxa"/>
        <w:jc w:val="left"/>
        <w:tblInd w:w="145" w:type="dxa"/>
        <w:tblLayout w:type="fixed"/>
        <w:tblCellMar>
          <w:top w:w="0" w:type="dxa"/>
          <w:left w:w="108" w:type="dxa"/>
          <w:bottom w:w="0" w:type="dxa"/>
          <w:right w:w="108" w:type="dxa"/>
        </w:tblCellMar>
        <w:tblLook w:firstRow="1" w:noVBand="1" w:lastRow="0" w:firstColumn="1" w:lastColumn="0" w:noHBand="0" w:val="04a0"/>
      </w:tblPr>
      <w:tblGrid>
        <w:gridCol w:w="6180"/>
        <w:gridCol w:w="2117"/>
      </w:tblGrid>
      <w:tr>
        <w:trPr>
          <w:trHeight w:val="348" w:hRule="atLeast"/>
        </w:trPr>
        <w:tc>
          <w:tcPr>
            <w:tcW w:w="6180"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eastAsia="Calibri" w:cs="Times New Roman"/>
                <w:kern w:val="0"/>
                <w:sz w:val="22"/>
                <w:szCs w:val="22"/>
                <w:lang w:val="pl-PL" w:bidi="ar-SA"/>
              </w:rPr>
              <w:t>Kwota przeznaczona na dofinansowanie projektów w naborze</w:t>
            </w:r>
          </w:p>
        </w:tc>
        <w:tc>
          <w:tcPr>
            <w:tcW w:w="2117" w:type="dxa"/>
            <w:tcBorders/>
            <w:shd w:color="auto" w:fill="D9D9D9" w:themeFill="background1" w:themeFillShade="d9" w:val="clear"/>
            <w:vAlign w:val="center"/>
          </w:tcPr>
          <w:p>
            <w:pPr>
              <w:pStyle w:val="Normal"/>
              <w:widowControl w:val="false"/>
              <w:suppressAutoHyphens w:val="true"/>
              <w:spacing w:lineRule="auto" w:line="360" w:before="0" w:after="0"/>
              <w:rPr>
                <w:rFonts w:cs="Times New Roman"/>
              </w:rPr>
            </w:pPr>
            <w:r>
              <w:rPr>
                <w:rFonts w:cs="Times New Roman"/>
                <w:sz w:val="22"/>
              </w:rPr>
            </w:r>
          </w:p>
          <w:p>
            <w:pPr>
              <w:pStyle w:val="Normal"/>
              <w:widowControl w:val="false"/>
              <w:suppressAutoHyphens w:val="true"/>
              <w:spacing w:lineRule="auto" w:line="360" w:before="0" w:after="0"/>
              <w:rPr>
                <w:rFonts w:cs="Times New Roman"/>
              </w:rPr>
            </w:pPr>
            <w:r>
              <w:rPr>
                <w:rFonts w:cs="Times New Roman"/>
                <w:sz w:val="22"/>
              </w:rPr>
            </w:r>
          </w:p>
        </w:tc>
      </w:tr>
      <w:tr>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Maksymalna wartość dofinansowania projektu objętego grantem [zł]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131 002,56zł</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Maksymalny poziom dofinansowania wydatków kwalifikowalnych projektu objętego grantem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95%</w:t>
            </w:r>
          </w:p>
        </w:tc>
      </w:tr>
      <w:tr>
        <w:trPr/>
        <w:tc>
          <w:tcPr>
            <w:tcW w:w="6180" w:type="dxa"/>
            <w:tcBorders/>
            <w:vAlign w:val="center"/>
          </w:tcPr>
          <w:p>
            <w:pPr>
              <w:pStyle w:val="Normal"/>
              <w:widowControl w:val="false"/>
              <w:suppressAutoHyphens w:val="true"/>
              <w:spacing w:before="0" w:after="0"/>
              <w:rPr>
                <w:rFonts w:cs="Times New Roman"/>
                <w:szCs w:val="24"/>
              </w:rPr>
            </w:pPr>
            <w:r>
              <w:rPr>
                <w:rFonts w:eastAsia="Calibri" w:cs="Times New Roman"/>
                <w:kern w:val="0"/>
                <w:sz w:val="22"/>
                <w:szCs w:val="24"/>
                <w:lang w:val="pl-PL" w:bidi="ar-SA"/>
              </w:rPr>
              <w:t xml:space="preserve">Minimalny poziom wymaganego wkładu własnego – finansowego i/lub niefinansowego  </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5%</w:t>
            </w:r>
          </w:p>
        </w:tc>
      </w:tr>
      <w:tr>
        <w:trPr>
          <w:trHeight w:val="214" w:hRule="atLeast"/>
        </w:trPr>
        <w:tc>
          <w:tcPr>
            <w:tcW w:w="6180" w:type="dxa"/>
            <w:tcBorders/>
            <w:vAlign w:val="center"/>
          </w:tcPr>
          <w:p>
            <w:pPr>
              <w:pStyle w:val="Normal"/>
              <w:widowControl w:val="false"/>
              <w:suppressAutoHyphens w:val="true"/>
              <w:spacing w:before="0" w:after="0"/>
              <w:rPr>
                <w:rFonts w:cs="Times New Roman"/>
              </w:rPr>
            </w:pPr>
            <w:r>
              <w:rPr>
                <w:rFonts w:eastAsia="Calibri" w:cs="Times New Roman"/>
                <w:kern w:val="0"/>
                <w:sz w:val="22"/>
                <w:szCs w:val="22"/>
                <w:lang w:val="pl-PL" w:bidi="ar-SA"/>
              </w:rPr>
              <w:t>Maksymalny koszt jednostkowy na osobę</w:t>
            </w:r>
          </w:p>
          <w:p>
            <w:pPr>
              <w:pStyle w:val="Normal"/>
              <w:widowControl w:val="false"/>
              <w:suppressAutoHyphens w:val="true"/>
              <w:spacing w:before="0" w:after="0"/>
              <w:rPr>
                <w:rFonts w:cs="Times New Roman"/>
              </w:rPr>
            </w:pPr>
            <w:r>
              <w:rPr>
                <w:rFonts w:eastAsia="Calibri" w:cs="Times New Roman"/>
                <w:kern w:val="0"/>
                <w:sz w:val="22"/>
                <w:szCs w:val="22"/>
                <w:lang w:val="pl-PL" w:bidi="ar-SA"/>
              </w:rPr>
              <w:t>[zł]</w:t>
            </w:r>
          </w:p>
        </w:tc>
        <w:tc>
          <w:tcPr>
            <w:tcW w:w="2117" w:type="dxa"/>
            <w:tcBorders/>
            <w:vAlign w:val="center"/>
          </w:tcPr>
          <w:p>
            <w:pPr>
              <w:pStyle w:val="Normal"/>
              <w:widowControl w:val="false"/>
              <w:suppressAutoHyphens w:val="true"/>
              <w:spacing w:lineRule="auto" w:line="360" w:before="0" w:after="0"/>
              <w:jc w:val="right"/>
              <w:rPr>
                <w:rFonts w:cs="Times New Roman"/>
              </w:rPr>
            </w:pPr>
            <w:r>
              <w:rPr>
                <w:rFonts w:eastAsia="Calibri" w:cs="Times New Roman"/>
                <w:kern w:val="0"/>
                <w:sz w:val="22"/>
                <w:szCs w:val="22"/>
                <w:lang w:val="pl-PL" w:bidi="ar-SA"/>
              </w:rPr>
              <w:t>14 555,84zł</w:t>
            </w:r>
          </w:p>
        </w:tc>
      </w:tr>
    </w:tbl>
    <w:p>
      <w:pPr>
        <w:pStyle w:val="Normal"/>
        <w:spacing w:before="120" w:after="200"/>
        <w:rPr/>
      </w:pPr>
      <w:r>
        <w:rPr/>
        <w:t>*Wartość projektu grantowego = dofinansowanie + wkład własnych</w:t>
      </w:r>
    </w:p>
    <w:p>
      <w:pPr>
        <w:pStyle w:val="Nagwek21"/>
        <w:rPr/>
      </w:pPr>
      <w:bookmarkStart w:id="17" w:name="_Toc163484303"/>
      <w:r>
        <w:rPr/>
        <w:t>2. Sposób szacowania wysokości grantów</w:t>
      </w:r>
      <w:bookmarkEnd w:id="17"/>
    </w:p>
    <w:p>
      <w:pPr>
        <w:pStyle w:val="Normal"/>
        <w:widowControl w:val="false"/>
        <w:tabs>
          <w:tab w:val="clear" w:pos="708"/>
          <w:tab w:val="left" w:pos="704" w:leader="none"/>
        </w:tabs>
        <w:spacing w:lineRule="auto" w:line="360" w:before="185" w:after="0"/>
        <w:ind w:right="516" w:hanging="0"/>
        <w:rPr>
          <w:rFonts w:cs="Arial"/>
          <w:szCs w:val="24"/>
        </w:rPr>
      </w:pPr>
      <w:r>
        <w:rPr>
          <w:rFonts w:cs="Arial"/>
          <w:szCs w:val="24"/>
          <w:u w:val="single"/>
        </w:rPr>
        <w:t>Wysokość grantu wynosić będzie</w:t>
      </w:r>
      <w:r>
        <w:rPr>
          <w:rFonts w:cs="Arial"/>
          <w:szCs w:val="24"/>
        </w:rPr>
        <w:t>:</w:t>
      </w:r>
    </w:p>
    <w:p>
      <w:pPr>
        <w:pStyle w:val="Normal"/>
        <w:widowControl w:val="false"/>
        <w:tabs>
          <w:tab w:val="clear" w:pos="708"/>
          <w:tab w:val="left" w:pos="704" w:leader="none"/>
        </w:tabs>
        <w:spacing w:lineRule="auto" w:line="360" w:before="185" w:after="0"/>
        <w:ind w:right="516" w:hanging="0"/>
        <w:rPr>
          <w:rFonts w:cs="Arial"/>
          <w:szCs w:val="24"/>
        </w:rPr>
      </w:pPr>
      <w:r>
        <w:rPr>
          <w:rFonts w:cs="Arial"/>
          <w:szCs w:val="24"/>
        </w:rPr>
        <w:t xml:space="preserve">Wysokość grantu uzależniona będzie od liczby osób objętych wsparciem w ramach danego grantu. </w:t>
      </w:r>
    </w:p>
    <w:p>
      <w:pPr>
        <w:pStyle w:val="Normal"/>
        <w:widowControl w:val="false"/>
        <w:tabs>
          <w:tab w:val="clear" w:pos="708"/>
          <w:tab w:val="left" w:pos="704" w:leader="none"/>
        </w:tabs>
        <w:spacing w:lineRule="auto" w:line="360" w:before="185" w:after="0"/>
        <w:ind w:right="516" w:hanging="0"/>
        <w:rPr>
          <w:rFonts w:cs="Arial"/>
          <w:szCs w:val="24"/>
        </w:rPr>
      </w:pPr>
      <w:r>
        <w:rPr>
          <w:rFonts w:cs="Arial"/>
          <w:szCs w:val="24"/>
        </w:rPr>
        <w:t xml:space="preserve">Wyliczenie wysokości grantu: Iloczyn kosztu….. </w:t>
      </w:r>
      <w:r>
        <w:rPr>
          <w:rFonts w:cs="Arial"/>
          <w:i/>
          <w:iCs/>
          <w:szCs w:val="24"/>
        </w:rPr>
        <w:t>(należy podać koszt przypadający na jednego uczestnika)</w:t>
      </w:r>
      <w:r>
        <w:rPr>
          <w:rFonts w:cs="Arial"/>
          <w:szCs w:val="24"/>
        </w:rPr>
        <w:t xml:space="preserve"> w przeliczeniu na jednego uczestnika projektu.</w:t>
      </w:r>
    </w:p>
    <w:p>
      <w:pPr>
        <w:pStyle w:val="Normal"/>
        <w:widowControl w:val="false"/>
        <w:tabs>
          <w:tab w:val="clear" w:pos="708"/>
          <w:tab w:val="left" w:pos="704" w:leader="none"/>
        </w:tabs>
        <w:spacing w:lineRule="auto" w:line="360" w:before="185" w:after="0"/>
        <w:ind w:right="516" w:hanging="0"/>
        <w:jc w:val="center"/>
        <w:rPr>
          <w:rFonts w:cs="Arial"/>
          <w:b/>
          <w:b/>
          <w:szCs w:val="24"/>
        </w:rPr>
      </w:pPr>
      <w:r>
        <w:rPr>
          <w:rFonts w:cs="Arial"/>
          <w:b/>
          <w:szCs w:val="24"/>
        </w:rPr>
        <w:t>WZÓR wyliczenia wysokość grantu = K</w:t>
      </w:r>
      <w:r>
        <w:rPr>
          <w:rFonts w:cs="Arial"/>
          <w:b/>
          <w:szCs w:val="24"/>
          <w:vertAlign w:val="subscript"/>
        </w:rPr>
        <w:t xml:space="preserve">j </w:t>
      </w:r>
      <w:r>
        <w:rPr>
          <w:rFonts w:cs="Arial"/>
          <w:b/>
          <w:szCs w:val="24"/>
        </w:rPr>
        <w:t>x L</w:t>
      </w:r>
      <w:r>
        <w:rPr>
          <w:rFonts w:cs="Arial"/>
          <w:b/>
          <w:szCs w:val="24"/>
          <w:vertAlign w:val="subscript"/>
        </w:rPr>
        <w:t>up</w:t>
      </w:r>
    </w:p>
    <w:p>
      <w:pPr>
        <w:pStyle w:val="Normal"/>
        <w:widowControl w:val="false"/>
        <w:tabs>
          <w:tab w:val="clear" w:pos="708"/>
          <w:tab w:val="left" w:pos="704" w:leader="none"/>
        </w:tabs>
        <w:spacing w:lineRule="auto" w:line="360" w:before="185" w:after="0"/>
        <w:ind w:right="516" w:hanging="0"/>
        <w:rPr>
          <w:rFonts w:cs="Arial"/>
          <w:szCs w:val="24"/>
        </w:rPr>
      </w:pPr>
      <w:r>
        <w:rPr>
          <w:rFonts w:cs="Arial"/>
          <w:szCs w:val="24"/>
        </w:rPr>
        <w:t>Gdzie:</w:t>
      </w:r>
    </w:p>
    <w:p>
      <w:pPr>
        <w:pStyle w:val="Normal"/>
        <w:widowControl w:val="false"/>
        <w:tabs>
          <w:tab w:val="clear" w:pos="708"/>
          <w:tab w:val="left" w:pos="704" w:leader="none"/>
        </w:tabs>
        <w:spacing w:lineRule="auto" w:line="360" w:before="185" w:after="0"/>
        <w:ind w:right="516" w:hanging="0"/>
        <w:rPr>
          <w:rFonts w:cs="Arial"/>
          <w:szCs w:val="24"/>
        </w:rPr>
      </w:pPr>
      <w:r>
        <w:rPr>
          <w:rFonts w:cs="Arial"/>
          <w:szCs w:val="24"/>
        </w:rPr>
        <w:t>K</w:t>
      </w:r>
      <w:r>
        <w:rPr>
          <w:rFonts w:cs="Arial"/>
          <w:szCs w:val="24"/>
          <w:vertAlign w:val="subscript"/>
        </w:rPr>
        <w:t xml:space="preserve">j </w:t>
      </w:r>
      <w:r>
        <w:rPr>
          <w:rFonts w:cs="Arial"/>
          <w:szCs w:val="24"/>
        </w:rPr>
        <w:t>–koszt jednostokowy przypadający na jednego uczestnika</w:t>
      </w:r>
    </w:p>
    <w:p>
      <w:pPr>
        <w:pStyle w:val="Normal"/>
        <w:widowControl w:val="false"/>
        <w:tabs>
          <w:tab w:val="clear" w:pos="708"/>
          <w:tab w:val="left" w:pos="704" w:leader="none"/>
        </w:tabs>
        <w:spacing w:lineRule="auto" w:line="360" w:before="185" w:after="0"/>
        <w:ind w:right="516" w:hanging="0"/>
        <w:rPr>
          <w:rFonts w:cs="Arial"/>
          <w:szCs w:val="24"/>
        </w:rPr>
      </w:pPr>
      <w:r>
        <w:rPr>
          <w:rFonts w:cs="Arial"/>
          <w:szCs w:val="24"/>
        </w:rPr>
        <w:t>L</w:t>
      </w:r>
      <w:r>
        <w:rPr>
          <w:rFonts w:cs="Arial"/>
          <w:szCs w:val="24"/>
          <w:vertAlign w:val="subscript"/>
        </w:rPr>
        <w:t>up</w:t>
      </w:r>
      <w:r>
        <w:rPr>
          <w:rFonts w:cs="Arial"/>
          <w:szCs w:val="24"/>
        </w:rPr>
        <w:t xml:space="preserve"> – liczba uczestników projektu</w:t>
      </w:r>
    </w:p>
    <w:p>
      <w:pPr>
        <w:pStyle w:val="Normal"/>
        <w:widowControl w:val="false"/>
        <w:tabs>
          <w:tab w:val="clear" w:pos="708"/>
          <w:tab w:val="left" w:pos="704" w:leader="none"/>
        </w:tabs>
        <w:spacing w:lineRule="auto" w:line="360" w:before="185" w:after="0"/>
        <w:jc w:val="left"/>
        <w:rPr>
          <w:rFonts w:cs="Arial"/>
          <w:szCs w:val="24"/>
        </w:rPr>
      </w:pPr>
      <w:r>
        <w:rPr>
          <w:rFonts w:cs="Arial"/>
          <w:szCs w:val="24"/>
        </w:rPr>
        <w:t>Grant udzielany jest od dnia zawarcia Umowy o powierzenie Grantu do maksymalnie 31.10.2025r. Okres kwalifikowalności wydatków liczony jest od podpisania umowy o udzielnie grantu.</w:t>
      </w:r>
    </w:p>
    <w:p>
      <w:pPr>
        <w:pStyle w:val="Nagwek21"/>
        <w:jc w:val="left"/>
        <w:rPr/>
      </w:pPr>
      <w:bookmarkStart w:id="18" w:name="_Toc163484304"/>
      <w:r>
        <w:rPr/>
        <w:t>3. FORMA WSPARCIA</w:t>
      </w:r>
      <w:bookmarkEnd w:id="18"/>
    </w:p>
    <w:p>
      <w:pPr>
        <w:pStyle w:val="ListParagraph"/>
        <w:numPr>
          <w:ilvl w:val="0"/>
          <w:numId w:val="6"/>
        </w:numPr>
        <w:ind w:left="851" w:hanging="425"/>
        <w:jc w:val="left"/>
        <w:rPr/>
      </w:pPr>
      <w:r>
        <w:rPr/>
        <w:t>Grant będzie wypłacany w formie zaliczki grantu</w:t>
      </w:r>
      <w:r>
        <w:rPr>
          <w:strike/>
        </w:rPr>
        <w:t>/refundacji</w:t>
      </w:r>
      <w:r>
        <w:rPr>
          <w:b/>
          <w:bCs/>
          <w:strike/>
          <w:color w:val="FF0000"/>
        </w:rPr>
        <w:t xml:space="preserve">  </w:t>
      </w:r>
      <w:r>
        <w:rPr>
          <w:strike/>
        </w:rPr>
        <w:t>rzeczywiście poniesionych kosztów kwalifikowanych</w:t>
      </w:r>
      <w:r>
        <w:rPr>
          <w:rStyle w:val="Zakotwiczenieprzypisudolnego"/>
        </w:rPr>
        <w:footnoteReference w:id="2"/>
      </w:r>
      <w:r>
        <w:rPr/>
        <w:t>. Zaliczka będzie wypłacona Grantobiorcy w wysokości nie większej i na okres nie dłuższy niż jest to niezbędne dla prawidłowej realizacji projektu objętego grantem. Maksymalna kwota udzielonej zaliczki nie może przekroczyć</w:t>
      </w:r>
      <w:r>
        <w:rPr>
          <w:strike w:val="false"/>
          <w:dstrike w:val="false"/>
        </w:rPr>
        <w:t xml:space="preserve"> 95%</w:t>
      </w:r>
      <w:r>
        <w:rPr/>
        <w:t xml:space="preserve">  grantu. Kwota zaliczki zostanie wskazana w umowie (załącznik nr 6 do Procedury wyboru i oceny grantobiorców w ramach projektów grantowych wraz z opisem sposobu rozliczania grantów, monitorowania i kontroli, współfinansowanego w ramach Europejskiego Funduszu Społecznego Plus Fundusze Europejskie dla Lubuskiego 2021-2027).</w:t>
      </w:r>
    </w:p>
    <w:p>
      <w:pPr>
        <w:pStyle w:val="ListParagraph"/>
        <w:numPr>
          <w:ilvl w:val="0"/>
          <w:numId w:val="6"/>
        </w:numPr>
        <w:ind w:left="851" w:hanging="425"/>
        <w:jc w:val="left"/>
        <w:rPr/>
      </w:pPr>
      <w:r>
        <w:rPr/>
        <w:t>Grant wypłacany jest na wyodrębniony nieoprocentowany rachunek bankowy wskazany przez Grantobiorcę w Umowie o powierzenie Grantu, pod warunkiem dostępności środków na rachunku bankowym prowadzonym przez Grantodawcę.</w:t>
      </w:r>
    </w:p>
    <w:p>
      <w:pPr>
        <w:pStyle w:val="ListParagraph"/>
        <w:numPr>
          <w:ilvl w:val="0"/>
          <w:numId w:val="6"/>
        </w:numPr>
        <w:ind w:left="851" w:hanging="425"/>
        <w:jc w:val="left"/>
        <w:rPr/>
      </w:pPr>
      <w:r>
        <w:rPr/>
        <w:t>Termin wypłaty Grantu określają warunki Umowy o powierzenie Grantu.</w:t>
      </w:r>
    </w:p>
    <w:p>
      <w:pPr>
        <w:pStyle w:val="ListParagraph"/>
        <w:numPr>
          <w:ilvl w:val="0"/>
          <w:numId w:val="6"/>
        </w:numPr>
        <w:ind w:left="851" w:hanging="425"/>
        <w:jc w:val="left"/>
        <w:rPr/>
      </w:pPr>
      <w:r>
        <w:rPr/>
        <w:t>Grantodawca zastrzega sobie prawo do niewypłacenia zaliczki/</w:t>
      </w:r>
      <w:r>
        <w:rPr>
          <w:strike/>
        </w:rPr>
        <w:t>refundacji rzeczywiście poniesionych kosztów kwalifikowanych</w:t>
      </w:r>
      <w:r>
        <w:rPr>
          <w:rStyle w:val="Zakotwiczenieprzypisudolnego"/>
        </w:rPr>
        <w:footnoteReference w:id="3"/>
      </w:r>
      <w:r>
        <w:rPr/>
        <w:t xml:space="preserve"> w ustalonym terminie, pomimo spełnienia przez Grantobiorcę wszystkich warunków w sytuacji, gdy nie otrzyma w terminie płatności od IZ.</w:t>
      </w:r>
    </w:p>
    <w:p>
      <w:pPr>
        <w:pStyle w:val="ListParagraph"/>
        <w:numPr>
          <w:ilvl w:val="0"/>
          <w:numId w:val="6"/>
        </w:numPr>
        <w:ind w:left="851" w:hanging="425"/>
        <w:jc w:val="left"/>
        <w:rPr/>
      </w:pPr>
      <w:r>
        <w:rPr/>
        <w:t>Grantobiorcy będą zobowiązani do sprawozdawczości. Rozliczenie środków następuje zgodnie z zapisami Umowy o powierzenie Grantu, stanowiącej załącznik nr</w:t>
      </w:r>
      <w:r>
        <w:rPr>
          <w:b/>
        </w:rPr>
        <w:t xml:space="preserve"> </w:t>
      </w:r>
      <w:r>
        <w:rPr/>
        <w:t>6 do Procedury wyboru i oceny grantobiorców w ramach projektów grantowych wraz z opisem sposobu rozliczania grantów, monitorowania i kontroli, współfinansowanego w ramach Europejskiego Funduszu Społecznego Plus Fundusze Europejskie dla Lubuskiego 2021-2027 do niniejszego Regulaminu.</w:t>
      </w:r>
    </w:p>
    <w:p>
      <w:pPr>
        <w:pStyle w:val="Normal"/>
        <w:rPr>
          <w:b/>
          <w:b/>
        </w:rPr>
      </w:pPr>
      <w:r>
        <w:rPr>
          <w:b/>
        </w:rPr>
        <w:t>4. Zasady wypłacania grantów</w:t>
      </w:r>
    </w:p>
    <w:p>
      <w:pPr>
        <w:pStyle w:val="Normal"/>
        <w:spacing w:before="0" w:after="0"/>
        <w:rPr/>
      </w:pPr>
      <w:r>
        <w:rPr/>
        <w:t>Grantodawca może podjąć decyzję o zawieszeniu zaliczki/płatności końcowej/</w:t>
      </w:r>
      <w:r>
        <w:rPr>
          <w:strike/>
        </w:rPr>
        <w:t>refundacji rzeczywiście poniesionych kosztów  kwalifikowanych</w:t>
      </w:r>
      <w:r>
        <w:rPr>
          <w:rStyle w:val="Zakotwiczenieprzypisudolnego"/>
        </w:rPr>
        <w:footnoteReference w:id="4"/>
      </w:r>
      <w:r>
        <w:rPr/>
        <w:t xml:space="preserve">  w przypadku, kiedy:</w:t>
      </w:r>
    </w:p>
    <w:p>
      <w:pPr>
        <w:pStyle w:val="Normal"/>
        <w:spacing w:before="0" w:after="0"/>
        <w:rPr/>
      </w:pPr>
      <w:r>
        <w:rPr/>
      </w:r>
    </w:p>
    <w:p>
      <w:pPr>
        <w:pStyle w:val="ListParagraph"/>
        <w:numPr>
          <w:ilvl w:val="0"/>
          <w:numId w:val="7"/>
        </w:numPr>
        <w:suppressAutoHyphens w:val="false"/>
        <w:jc w:val="left"/>
        <w:rPr/>
      </w:pPr>
      <w:r>
        <w:rPr/>
        <w:t xml:space="preserve">Grantobiorca odmówi poddania się kontroli i działaniom monitoringowym; </w:t>
      </w:r>
    </w:p>
    <w:p>
      <w:pPr>
        <w:pStyle w:val="ListParagraph"/>
        <w:numPr>
          <w:ilvl w:val="0"/>
          <w:numId w:val="7"/>
        </w:numPr>
        <w:suppressAutoHyphens w:val="false"/>
        <w:jc w:val="left"/>
        <w:rPr/>
      </w:pPr>
      <w:r>
        <w:rPr/>
        <w:t xml:space="preserve">Grantobiorca nie złoży w terminie sprawozdania z realizacji grantu; </w:t>
      </w:r>
    </w:p>
    <w:p>
      <w:pPr>
        <w:pStyle w:val="ListParagraph"/>
        <w:numPr>
          <w:ilvl w:val="0"/>
          <w:numId w:val="7"/>
        </w:numPr>
        <w:suppressAutoHyphens w:val="false"/>
        <w:jc w:val="left"/>
        <w:rPr/>
      </w:pPr>
      <w:r>
        <w:rPr/>
        <w:t>Grantodawca podejmie uzasadnione podejrzenia, że Grantobiorca wprowadził go  w błąd, co do stopnia realizacji grantu;</w:t>
      </w:r>
    </w:p>
    <w:p>
      <w:pPr>
        <w:pStyle w:val="ListParagraph"/>
        <w:numPr>
          <w:ilvl w:val="0"/>
          <w:numId w:val="7"/>
        </w:numPr>
        <w:suppressAutoHyphens w:val="false"/>
        <w:jc w:val="left"/>
        <w:rPr/>
      </w:pPr>
      <w:r>
        <w:rPr/>
        <w:t>Grantodawca poweźmie informację o złamaniu prawa przez Grantobiorcę lub wykorzystaniu przekazanych środków finansowych niezgodnie z zapisami Umowy o powierzenie grantu.</w:t>
      </w:r>
    </w:p>
    <w:p>
      <w:pPr>
        <w:pStyle w:val="Nagwek11"/>
        <w:jc w:val="left"/>
        <w:rPr/>
      </w:pPr>
      <w:bookmarkStart w:id="19" w:name="_Toc163484305"/>
      <w:bookmarkStart w:id="20" w:name="_Toc162422617"/>
      <w:r>
        <w:rPr/>
        <w:t>Rozdział VIII WARUNKI UDZIELENIA WSPARCIA NA REALIZACJĘ PROJEKTU OBJĘTEGO GRANTEM</w:t>
      </w:r>
      <w:bookmarkEnd w:id="19"/>
      <w:bookmarkEnd w:id="20"/>
    </w:p>
    <w:p>
      <w:pPr>
        <w:pStyle w:val="ListParagraph"/>
        <w:numPr>
          <w:ilvl w:val="0"/>
          <w:numId w:val="19"/>
        </w:numPr>
        <w:jc w:val="left"/>
        <w:rPr>
          <w:b/>
          <w:b/>
          <w:szCs w:val="24"/>
        </w:rPr>
      </w:pPr>
      <w:r>
        <w:rPr>
          <w:szCs w:val="24"/>
        </w:rPr>
        <w:t>Spełnienie wymogów weryfikacji wstępnej, zgodnie z załącznikiem nr 3</w:t>
      </w:r>
      <w:r>
        <w:rPr>
          <w:b/>
          <w:szCs w:val="24"/>
        </w:rPr>
        <w:t xml:space="preserve"> </w:t>
      </w:r>
      <w:r>
        <w:rPr/>
        <w:t>do Procedury wyboru i oceny grantobiorców w ramach projektów grantowych wraz z opisem sposobu rozliczania grantów, monitorowania i kontroli, współfinansowanego w ramach Europejskiego Funduszu Społecznego Plus Fundusze Europejskie dla Lubuskiego 2021-2027.</w:t>
      </w:r>
    </w:p>
    <w:p>
      <w:pPr>
        <w:pStyle w:val="ListParagraph"/>
        <w:ind w:left="360" w:hanging="0"/>
        <w:jc w:val="left"/>
        <w:rPr>
          <w:b/>
          <w:b/>
          <w:szCs w:val="24"/>
        </w:rPr>
      </w:pPr>
      <w:r>
        <w:rPr>
          <w:b/>
          <w:szCs w:val="24"/>
        </w:rPr>
      </w:r>
    </w:p>
    <w:p>
      <w:pPr>
        <w:pStyle w:val="ListParagraph"/>
        <w:numPr>
          <w:ilvl w:val="0"/>
          <w:numId w:val="19"/>
        </w:numPr>
        <w:jc w:val="left"/>
        <w:rPr>
          <w:b/>
          <w:b/>
          <w:szCs w:val="24"/>
        </w:rPr>
      </w:pPr>
      <w:r>
        <w:rPr>
          <w:szCs w:val="24"/>
        </w:rPr>
        <w:t>Realizacja operacji przyczyni się do realizacji celu grantowego określonego w LSR poprzez osiąganie wskaźników zaplanowanych dla danego zakresu wsparcia, o których mowa w Rozdziale XI niniejszego Regulaminu.</w:t>
      </w:r>
    </w:p>
    <w:p>
      <w:pPr>
        <w:pStyle w:val="ListParagraph"/>
        <w:ind w:left="360" w:hanging="0"/>
        <w:jc w:val="left"/>
        <w:rPr>
          <w:b/>
          <w:b/>
          <w:szCs w:val="24"/>
        </w:rPr>
      </w:pPr>
      <w:r>
        <w:rPr>
          <w:b/>
          <w:szCs w:val="24"/>
        </w:rPr>
      </w:r>
    </w:p>
    <w:p>
      <w:pPr>
        <w:pStyle w:val="ListParagraph"/>
        <w:numPr>
          <w:ilvl w:val="0"/>
          <w:numId w:val="19"/>
        </w:numPr>
        <w:jc w:val="left"/>
        <w:rPr>
          <w:b/>
          <w:b/>
          <w:szCs w:val="24"/>
        </w:rPr>
      </w:pPr>
      <w:r>
        <w:rPr>
          <w:szCs w:val="24"/>
        </w:rPr>
        <w:t>Złożenie wszystkich wymaganych dokumentów potwierdzaj</w:t>
      </w:r>
      <w:r>
        <w:rPr>
          <w:sz w:val="24"/>
          <w:szCs w:val="24"/>
        </w:rPr>
        <w:t>ących spełnienie warunków udzielania wsparcia oraz kryteriów wyboru operacji, w terminie składania wniosków w Biurze Stowarzyszenia bezpośrednio, tj. osobiście albo przez pełnomocnika albo przez osobę uprawnioną do reprezentacji.</w:t>
      </w:r>
    </w:p>
    <w:p>
      <w:pPr>
        <w:pStyle w:val="ListParagraph"/>
        <w:ind w:left="360" w:hanging="0"/>
        <w:jc w:val="left"/>
        <w:rPr>
          <w:b/>
          <w:b/>
          <w:szCs w:val="24"/>
        </w:rPr>
      </w:pPr>
      <w:r>
        <w:rPr>
          <w:b/>
          <w:szCs w:val="24"/>
        </w:rPr>
      </w:r>
    </w:p>
    <w:p>
      <w:pPr>
        <w:pStyle w:val="ListParagraph"/>
        <w:numPr>
          <w:ilvl w:val="0"/>
          <w:numId w:val="19"/>
        </w:numPr>
        <w:jc w:val="left"/>
        <w:rPr>
          <w:b/>
          <w:b/>
          <w:szCs w:val="24"/>
        </w:rPr>
      </w:pPr>
      <w:r>
        <w:rPr>
          <w:szCs w:val="24"/>
        </w:rPr>
        <w:t>O pomoc mogą ubiegać się podmioty, o których mowa w Rozdziale V niniejszego Regulaminu.</w:t>
      </w:r>
    </w:p>
    <w:p>
      <w:pPr>
        <w:pStyle w:val="ListParagraph"/>
        <w:ind w:left="360" w:hanging="0"/>
        <w:jc w:val="left"/>
        <w:rPr>
          <w:b w:val="false"/>
          <w:b w:val="false"/>
          <w:bCs w:val="false"/>
          <w:color w:val="000000"/>
          <w:szCs w:val="24"/>
        </w:rPr>
      </w:pPr>
      <w:r>
        <w:rPr>
          <w:b w:val="false"/>
          <w:bCs w:val="false"/>
          <w:color w:val="000000"/>
          <w:szCs w:val="24"/>
        </w:rPr>
      </w:r>
    </w:p>
    <w:p>
      <w:pPr>
        <w:pStyle w:val="ListParagraph"/>
        <w:numPr>
          <w:ilvl w:val="0"/>
          <w:numId w:val="19"/>
        </w:numPr>
        <w:jc w:val="left"/>
        <w:rPr>
          <w:b w:val="false"/>
          <w:b w:val="false"/>
          <w:bCs w:val="false"/>
          <w:color w:val="000000"/>
        </w:rPr>
      </w:pPr>
      <w:r>
        <w:rPr>
          <w:b w:val="false"/>
          <w:bCs w:val="false"/>
          <w:color w:val="000000"/>
          <w:szCs w:val="24"/>
        </w:rPr>
        <w:t>Wnioskodawca w ramach danego naboru wniosków może złożyć tylko jeden wniosek.</w:t>
      </w:r>
    </w:p>
    <w:p>
      <w:pPr>
        <w:pStyle w:val="ListParagraph"/>
        <w:numPr>
          <w:ilvl w:val="0"/>
          <w:numId w:val="0"/>
        </w:numPr>
        <w:ind w:left="360" w:hanging="0"/>
        <w:jc w:val="left"/>
        <w:rPr>
          <w:b w:val="false"/>
          <w:b w:val="false"/>
          <w:bCs w:val="false"/>
          <w:color w:val="000000"/>
          <w:szCs w:val="24"/>
        </w:rPr>
      </w:pPr>
      <w:r>
        <w:rPr>
          <w:b w:val="false"/>
          <w:bCs w:val="false"/>
          <w:color w:val="000000"/>
          <w:szCs w:val="24"/>
        </w:rPr>
      </w:r>
    </w:p>
    <w:p>
      <w:pPr>
        <w:pStyle w:val="ListParagraph"/>
        <w:numPr>
          <w:ilvl w:val="0"/>
          <w:numId w:val="19"/>
        </w:numPr>
        <w:jc w:val="left"/>
        <w:rPr>
          <w:b w:val="false"/>
          <w:b w:val="false"/>
          <w:bCs w:val="false"/>
          <w:color w:val="000000"/>
        </w:rPr>
      </w:pPr>
      <w:r>
        <w:rPr>
          <w:b w:val="false"/>
          <w:bCs w:val="false"/>
          <w:color w:val="000000"/>
          <w:szCs w:val="24"/>
        </w:rPr>
        <w:t xml:space="preserve">Wnioskodawca może jednym wnioskiem objąć wszystkie zadania. </w:t>
      </w:r>
    </w:p>
    <w:p>
      <w:pPr>
        <w:pStyle w:val="ListParagraph"/>
        <w:ind w:left="360" w:hanging="0"/>
        <w:jc w:val="left"/>
        <w:rPr>
          <w:b w:val="false"/>
          <w:b w:val="false"/>
          <w:bCs w:val="false"/>
          <w:color w:val="000000"/>
          <w:szCs w:val="24"/>
        </w:rPr>
      </w:pPr>
      <w:r>
        <w:rPr>
          <w:b w:val="false"/>
          <w:bCs w:val="false"/>
          <w:color w:val="000000"/>
          <w:szCs w:val="24"/>
        </w:rPr>
      </w:r>
    </w:p>
    <w:p>
      <w:pPr>
        <w:pStyle w:val="ListParagraph"/>
        <w:numPr>
          <w:ilvl w:val="0"/>
          <w:numId w:val="19"/>
        </w:numPr>
        <w:jc w:val="left"/>
        <w:rPr>
          <w:b/>
          <w:b/>
          <w:szCs w:val="24"/>
        </w:rPr>
      </w:pPr>
      <w:r>
        <w:rPr>
          <w:b w:val="false"/>
          <w:bCs w:val="false"/>
          <w:color w:val="000000"/>
          <w:szCs w:val="24"/>
        </w:rPr>
        <w:t>Wnioskodawca zapewnia, że wsparcie zaplanowane w grancie zostanie poprzedzone diagnozą umiejętności uczestników, tak aby zaplanować odpowiedni rodzaj i poziom w</w:t>
      </w:r>
      <w:r>
        <w:rPr>
          <w:szCs w:val="24"/>
        </w:rPr>
        <w:t>sparcia oraz określenie posiadanych umiejętności i potrzeb w zakresie ich poprawy.</w:t>
      </w:r>
    </w:p>
    <w:p>
      <w:pPr>
        <w:pStyle w:val="ListParagraph"/>
        <w:ind w:left="360" w:hanging="0"/>
        <w:jc w:val="left"/>
        <w:rPr>
          <w:b/>
          <w:b/>
          <w:szCs w:val="24"/>
        </w:rPr>
      </w:pPr>
      <w:r>
        <w:rPr>
          <w:b/>
          <w:szCs w:val="24"/>
        </w:rPr>
      </w:r>
    </w:p>
    <w:p>
      <w:pPr>
        <w:pStyle w:val="ListParagraph"/>
        <w:numPr>
          <w:ilvl w:val="0"/>
          <w:numId w:val="19"/>
        </w:numPr>
        <w:jc w:val="left"/>
        <w:rPr>
          <w:b/>
          <w:b/>
          <w:szCs w:val="24"/>
        </w:rPr>
      </w:pPr>
      <w:r>
        <w:rPr>
          <w:szCs w:val="24"/>
        </w:rPr>
        <w:t>Wnioskodawca zapewni, że planowana do realizacji oferta uczenia się będzie uzupełniona przez szeroko zakrojone działania związane z dotarciem do grupy docelowej oraz zmotywowaniem jej do skorzystania z pomocy. Zapewni propagowanie idei uczenia się przez cale życie oraz dotarcie do jak najszerszej grupy docelowej, a także z zachęci uczestników projektu do nabywania i podnoszenia kompetencji.</w:t>
        <w:br/>
      </w:r>
    </w:p>
    <w:p>
      <w:pPr>
        <w:pStyle w:val="ListParagraph"/>
        <w:numPr>
          <w:ilvl w:val="0"/>
          <w:numId w:val="19"/>
        </w:numPr>
        <w:jc w:val="left"/>
        <w:rPr>
          <w:b/>
          <w:b/>
          <w:szCs w:val="24"/>
        </w:rPr>
      </w:pPr>
      <w:r>
        <w:rPr>
          <w:szCs w:val="24"/>
        </w:rPr>
        <w:t xml:space="preserve">Wsparcie zostanie skierowane do osób o niskich kwalifikacjach – zapewni to wsparcie osobom, które tego wsparcia najbardziej potrzebują, a tym samym pozwoli na wyrównanie szans na rynku pracy osób o niskich kwalifikacjach.  </w:t>
      </w:r>
    </w:p>
    <w:p>
      <w:pPr>
        <w:pStyle w:val="ListParagraph"/>
        <w:ind w:left="360" w:hanging="0"/>
        <w:jc w:val="left"/>
        <w:rPr>
          <w:b/>
          <w:b/>
          <w:szCs w:val="24"/>
        </w:rPr>
      </w:pPr>
      <w:r>
        <w:rPr>
          <w:b/>
          <w:szCs w:val="24"/>
        </w:rPr>
      </w:r>
    </w:p>
    <w:p>
      <w:pPr>
        <w:pStyle w:val="ListParagraph"/>
        <w:numPr>
          <w:ilvl w:val="0"/>
          <w:numId w:val="19"/>
        </w:numPr>
        <w:jc w:val="left"/>
        <w:rPr>
          <w:b/>
          <w:b/>
          <w:szCs w:val="24"/>
        </w:rPr>
      </w:pPr>
      <w:r>
        <w:rPr>
          <w:szCs w:val="24"/>
        </w:rPr>
        <w:t xml:space="preserve">Uzyskanie wymaganego minimum punktowego w ramach oceny według Lokalnych Kryteriów Wyboru, które znajdują się w Szczegółowym opisie kryteriów wyboru projektów grantowych realizowanych ze środków EFS+, który stanowi załącznik nr 2 do </w:t>
      </w:r>
      <w:r>
        <w:rPr/>
        <w:t>Procedury wyboru i oceny grantobiorców w ramach projektów grantowych wraz z opisem sposobu rozliczania grantów, monitorowania i kontroli, współfinansowanego w ramach Europejskiego Funduszu Społecznego Plus Fundusze Europejskie dla Lubuskiego 2021-2027.</w:t>
      </w:r>
    </w:p>
    <w:p>
      <w:pPr>
        <w:pStyle w:val="ListParagraph"/>
        <w:numPr>
          <w:ilvl w:val="0"/>
          <w:numId w:val="0"/>
        </w:numPr>
        <w:ind w:left="360" w:hanging="0"/>
        <w:jc w:val="left"/>
        <w:rPr>
          <w:b/>
          <w:b/>
          <w:szCs w:val="24"/>
        </w:rPr>
      </w:pPr>
      <w:r>
        <w:rPr>
          <w:b/>
          <w:szCs w:val="24"/>
        </w:rPr>
      </w:r>
    </w:p>
    <w:p>
      <w:pPr>
        <w:pStyle w:val="ListParagraph"/>
        <w:ind w:left="720" w:hanging="0"/>
        <w:jc w:val="left"/>
        <w:rPr/>
      </w:pPr>
      <w:r>
        <w:rPr/>
        <w:t xml:space="preserve">11.  </w:t>
      </w:r>
      <w:r>
        <w:rPr>
          <w:rFonts w:cs="" w:cstheme="minorBidi"/>
          <w:b w:val="false"/>
          <w:bCs w:val="false"/>
          <w:color w:val="000000"/>
          <w:sz w:val="24"/>
          <w:szCs w:val="24"/>
          <w:lang w:eastAsia="pl-PL"/>
        </w:rPr>
        <w:t>Wnioskodawca zapewni, że w ramach realizacji projektu objętego grantem wsparcie kierowane     będzie w pierwszej kolejności do grup (uczestników projektu) znajdujących się w niekorzystnej sytuacji tj. grupa osób doświadczających ubóstwa, wykluczenia społecznego lub dyskryminacji w wielu wymiarach lub zagrożona tymi zjawiskami.</w:t>
      </w:r>
    </w:p>
    <w:p>
      <w:pPr>
        <w:pStyle w:val="Nagwek11"/>
        <w:rPr/>
      </w:pPr>
      <w:bookmarkStart w:id="21" w:name="_Toc163484306"/>
      <w:r>
        <w:rPr/>
        <w:t>Rozdział IX WYBÓR, OCENA, SPOSÓB ROZLICZANIA GRANTÓW</w:t>
      </w:r>
      <w:bookmarkEnd w:id="21"/>
    </w:p>
    <w:p>
      <w:pPr>
        <w:pStyle w:val="ListParagraph"/>
        <w:numPr>
          <w:ilvl w:val="0"/>
          <w:numId w:val="8"/>
        </w:numPr>
        <w:tabs>
          <w:tab w:val="clear" w:pos="708"/>
          <w:tab w:val="left" w:pos="-360" w:leader="none"/>
        </w:tabs>
        <w:spacing w:before="120" w:after="200"/>
        <w:ind w:left="360" w:hanging="360"/>
        <w:contextualSpacing/>
        <w:jc w:val="left"/>
        <w:rPr>
          <w:rFonts w:eastAsia="Arial Narrow"/>
          <w:b/>
          <w:b/>
        </w:rPr>
      </w:pPr>
      <w:r>
        <w:rPr/>
        <w:t>Procedura udzielania wsparcia</w:t>
      </w:r>
      <w:r>
        <w:rPr>
          <w:b/>
        </w:rPr>
        <w:t xml:space="preserve"> </w:t>
      </w:r>
      <w:r>
        <w:rPr/>
        <w:t>na wdrażanie LSR w ramach EFS+</w:t>
      </w:r>
      <w:r>
        <w:rPr>
          <w:b/>
        </w:rPr>
        <w:t xml:space="preserve"> </w:t>
      </w:r>
      <w:r>
        <w:rPr/>
        <w:t xml:space="preserve">obejmuje czynności związane z przeprowadzaniem naboru wniosków, oceny i wyboru grantobiorców w ramach Europejskiego Funduszu Społecznego Plus na lata 2021-2027, stanowi ona załącznik nr 1 do niniejszego Regulaminu pn. </w:t>
      </w:r>
      <w:r>
        <w:rPr>
          <w:b/>
        </w:rPr>
        <w:t>Procedury wyboru i oceny grantobiorców w ramach projektów grantowych wraz z opisem sposobu rozliczania grantów, monitorowania i kontroli.</w:t>
      </w:r>
    </w:p>
    <w:p>
      <w:pPr>
        <w:pStyle w:val="ListParagraph"/>
        <w:spacing w:before="120" w:after="200"/>
        <w:ind w:left="360" w:hanging="0"/>
        <w:contextualSpacing/>
        <w:jc w:val="left"/>
        <w:rPr>
          <w:rFonts w:eastAsia="Arial Narrow"/>
          <w:b/>
          <w:b/>
        </w:rPr>
      </w:pPr>
      <w:r>
        <w:rPr>
          <w:rFonts w:eastAsia="Arial Narrow"/>
          <w:b/>
        </w:rPr>
      </w:r>
    </w:p>
    <w:p>
      <w:pPr>
        <w:pStyle w:val="ListParagraph"/>
        <w:numPr>
          <w:ilvl w:val="0"/>
          <w:numId w:val="8"/>
        </w:numPr>
        <w:tabs>
          <w:tab w:val="clear" w:pos="708"/>
          <w:tab w:val="left" w:pos="-360" w:leader="none"/>
        </w:tabs>
        <w:spacing w:before="120" w:after="200"/>
        <w:ind w:left="360" w:hanging="360"/>
        <w:contextualSpacing/>
        <w:jc w:val="left"/>
        <w:rPr>
          <w:rFonts w:eastAsia="Arial Narrow"/>
        </w:rPr>
      </w:pPr>
      <w:r>
        <w:rPr/>
        <w:t>Dla przedsięwzięcia ustalone zostały kryteria wyboru, zawarte w Szczegółowym opisie kryteriów wyboru projektów grantowych realizowanych ze środków EFS+, na podstawie których zostanie dokonana  ocena złożonego wniosku. Mają one charakter jawny i są udostępnione na stronie internetowej LGD. Aby projekt objęty grantem mógł zostać wybrany do finansowania, musi uzyskać minimum punktowe. Szczegółowy opis kryteriów wyboru projektów grantowych realizowanych ze środków EFS+ stanowi załącznik nr 2 do Procedury wyboru i oceny grantobiorców w ramach projektów grantowych wraz z opisem sposobu rozliczania grantów, monitorowania i kontroli, współfinansowanego w ramach Europejskiego Funduszu Społecznego Plus Fundusze Europejskie dla Lubuskiego 2021-2027.</w:t>
      </w:r>
    </w:p>
    <w:p>
      <w:pPr>
        <w:pStyle w:val="Akapitzlist"/>
        <w:numPr>
          <w:ilvl w:val="0"/>
          <w:numId w:val="8"/>
        </w:numPr>
        <w:tabs>
          <w:tab w:val="clear" w:pos="708"/>
          <w:tab w:val="left" w:pos="-360" w:leader="none"/>
        </w:tabs>
        <w:spacing w:before="120" w:after="200"/>
        <w:ind w:left="360" w:hanging="360"/>
        <w:contextualSpacing/>
        <w:jc w:val="left"/>
        <w:rPr>
          <w:i w:val="false"/>
          <w:i w:val="false"/>
          <w:iCs w:val="false"/>
        </w:rPr>
      </w:pPr>
      <w:r>
        <w:rPr>
          <w:rFonts w:eastAsia="Arial Narrow"/>
          <w:i w:val="false"/>
          <w:iCs w:val="false"/>
          <w:color w:val="000000" w:themeColor="text1"/>
        </w:rPr>
        <w:t>Ocena wniosków złożonych w trakcie trwania naboru</w:t>
      </w:r>
      <w:r>
        <w:rPr>
          <w:rFonts w:eastAsia="Arial Narrow"/>
          <w:i w:val="false"/>
          <w:iCs w:val="false"/>
          <w:color w:val="000000" w:themeColor="text1"/>
          <w:lang w:val="pl-PL"/>
        </w:rPr>
        <w:t xml:space="preserve"> dokonywana jest przez Radę. </w:t>
      </w:r>
      <w:r>
        <w:rPr>
          <w:i w:val="false"/>
          <w:iCs w:val="false"/>
          <w:color w:val="000000" w:themeColor="text1"/>
        </w:rPr>
        <w:t xml:space="preserve">Sposób pracy Rady określa Regulamin Rady oraz Procedury </w:t>
      </w:r>
      <w:bookmarkStart w:id="22" w:name="_Hlk512333466"/>
      <w:r>
        <w:rPr>
          <w:i w:val="false"/>
          <w:iCs w:val="false"/>
          <w:color w:val="000000" w:themeColor="text1"/>
        </w:rPr>
        <w:t xml:space="preserve">wyboru i oceny grantobiorców w ramach projektów grantowych </w:t>
      </w:r>
      <w:bookmarkEnd w:id="22"/>
      <w:r>
        <w:rPr>
          <w:i w:val="false"/>
          <w:iCs w:val="false"/>
          <w:color w:val="000000" w:themeColor="text1"/>
        </w:rPr>
        <w:t>wraz z opisem sposobu rozliczania grantów, monitorowania i kontroli.</w:t>
      </w:r>
    </w:p>
    <w:p>
      <w:pPr>
        <w:pStyle w:val="ListParagraph"/>
        <w:numPr>
          <w:ilvl w:val="0"/>
          <w:numId w:val="8"/>
        </w:numPr>
        <w:tabs>
          <w:tab w:val="clear" w:pos="708"/>
          <w:tab w:val="left" w:pos="-360" w:leader="none"/>
        </w:tabs>
        <w:spacing w:before="120" w:after="200"/>
        <w:ind w:left="360" w:hanging="360"/>
        <w:contextualSpacing/>
        <w:jc w:val="left"/>
        <w:rPr>
          <w:color w:val="000000"/>
        </w:rPr>
      </w:pPr>
      <w:r>
        <w:rPr>
          <w:rFonts w:eastAsia="Arial Narrow"/>
          <w:color w:val="000000"/>
        </w:rPr>
        <w:t>Weryfikacja, ocena i wybór projektu objętego grantowem oraz ustalenie kwoty wsparcia muszą być dokonane, a dokumenty potwierdzające dokonanie wyboru operacji udostępnione IZ, w terminie 60 dni od dnia następującego po ostatnim dniu terminu składania wniosków o grant.</w:t>
      </w:r>
    </w:p>
    <w:p>
      <w:pPr>
        <w:pStyle w:val="Akapitzlist"/>
        <w:numPr>
          <w:ilvl w:val="0"/>
          <w:numId w:val="0"/>
        </w:numPr>
        <w:spacing w:before="120" w:after="200"/>
        <w:ind w:left="0" w:hanging="0"/>
        <w:contextualSpacing/>
        <w:jc w:val="left"/>
        <w:rPr>
          <w:color w:val="000000"/>
        </w:rPr>
      </w:pPr>
      <w:r>
        <w:rPr>
          <w:color w:val="000000"/>
        </w:rPr>
        <w:t>5.     Grantodawca może jednokrotnie wezwać Grantobiorcę do poprawienia oczywistych omyłek</w:t>
      </w:r>
      <w:r>
        <w:rPr>
          <w:color w:val="000000"/>
          <w:lang w:val="pl-PL"/>
        </w:rPr>
        <w:t xml:space="preserve">,  </w:t>
      </w:r>
      <w:r>
        <w:rPr>
          <w:color w:val="000000"/>
        </w:rPr>
        <w:t>uzupełnienia bądź wyjaśnienia zapisów mogących budzić wątpliwość w wyznaczonym</w:t>
      </w:r>
      <w:r>
        <w:rPr>
          <w:color w:val="000000"/>
          <w:lang w:val="pl-PL"/>
        </w:rPr>
        <w:t xml:space="preserve"> </w:t>
      </w:r>
      <w:r>
        <w:rPr>
          <w:bCs/>
          <w:color w:val="000000"/>
        </w:rPr>
        <w:t>terminie 7 dni.</w:t>
      </w:r>
      <w:r>
        <w:rPr>
          <w:color w:val="000000"/>
        </w:rPr>
        <w:t xml:space="preserve"> </w:t>
      </w:r>
      <w:r>
        <w:rPr>
          <w:rFonts w:eastAsia="Courier New" w:cs="Arial"/>
          <w:color w:val="000000"/>
          <w:sz w:val="22"/>
          <w:szCs w:val="22"/>
          <w:lang w:val="pl-PL"/>
        </w:rPr>
        <w:t>Niezłożenie wymaganych uzupełnień lub wyjaśnień/ poprawy w wyznaczonym terminie skutkuje:</w:t>
      </w:r>
    </w:p>
    <w:p>
      <w:pPr>
        <w:pStyle w:val="Akapitzlist"/>
        <w:widowControl w:val="false"/>
        <w:numPr>
          <w:ilvl w:val="1"/>
          <w:numId w:val="8"/>
        </w:numPr>
        <w:suppressAutoHyphens w:val="false"/>
        <w:spacing w:before="0" w:after="0"/>
        <w:ind w:left="741" w:hanging="360"/>
        <w:contextualSpacing w:val="false"/>
        <w:jc w:val="left"/>
        <w:rPr>
          <w:color w:val="000000"/>
        </w:rPr>
      </w:pPr>
      <w:r>
        <w:rPr>
          <w:rFonts w:eastAsia="Courier New" w:cs="Arial"/>
          <w:color w:val="000000"/>
          <w:sz w:val="22"/>
          <w:szCs w:val="22"/>
          <w:lang w:val="pl-PL"/>
        </w:rPr>
        <w:t xml:space="preserve">weryfikacją wniosku o powierzenie grantu zgodnie z jego pierwotnym brzmieniem; </w:t>
      </w:r>
      <w:r>
        <w:rPr>
          <w:rFonts w:eastAsia="Courier New" w:cs="Arial"/>
          <w:color w:val="000000"/>
          <w:sz w:val="22"/>
          <w:szCs w:val="22"/>
          <w:u w:val="single"/>
          <w:lang w:val="pl-PL"/>
        </w:rPr>
        <w:t>lub</w:t>
      </w:r>
    </w:p>
    <w:p>
      <w:pPr>
        <w:pStyle w:val="Akapitzlist"/>
        <w:widowControl w:val="false"/>
        <w:numPr>
          <w:ilvl w:val="1"/>
          <w:numId w:val="8"/>
        </w:numPr>
        <w:tabs>
          <w:tab w:val="clear" w:pos="708"/>
          <w:tab w:val="left" w:pos="-360" w:leader="none"/>
        </w:tabs>
        <w:suppressAutoHyphens w:val="false"/>
        <w:spacing w:before="0" w:after="0"/>
        <w:ind w:left="741" w:hanging="360"/>
        <w:contextualSpacing w:val="false"/>
        <w:jc w:val="left"/>
        <w:rPr>
          <w:color w:val="000000"/>
        </w:rPr>
      </w:pPr>
      <w:r>
        <w:rPr>
          <w:rFonts w:eastAsia="Courier New" w:cs="Arial"/>
          <w:color w:val="000000"/>
          <w:sz w:val="22"/>
          <w:szCs w:val="22"/>
          <w:lang w:val="pl-PL"/>
        </w:rPr>
        <w:t>pozostawieniem wniosku o powierzenie grantu bez rozparzenia</w:t>
      </w:r>
      <w:r>
        <w:rPr>
          <w:color w:val="000000"/>
          <w:lang w:val="pl-PL"/>
        </w:rPr>
        <w:t xml:space="preserve"> </w:t>
      </w:r>
      <w:r>
        <w:rPr>
          <w:color w:val="000000"/>
        </w:rPr>
        <w:t xml:space="preserve">O </w:t>
      </w:r>
      <w:r>
        <w:rPr>
          <w:color w:val="000000"/>
          <w:lang w:val="pl-PL"/>
        </w:rPr>
        <w:t>pozostawieniu</w:t>
      </w:r>
      <w:r>
        <w:rPr>
          <w:color w:val="000000"/>
        </w:rPr>
        <w:t xml:space="preserve"> wniosku bez rozpatrzenia Grantodawca informuje Grantobiorcę poprzez system IT LGD lub drogą elektroniczną na adres e-mail wskazany we Wniosku.</w:t>
      </w:r>
    </w:p>
    <w:p>
      <w:pPr>
        <w:pStyle w:val="ListParagraph"/>
        <w:numPr>
          <w:ilvl w:val="0"/>
          <w:numId w:val="0"/>
        </w:numPr>
        <w:tabs>
          <w:tab w:val="clear" w:pos="708"/>
          <w:tab w:val="left" w:pos="-360" w:leader="none"/>
        </w:tabs>
        <w:spacing w:before="120" w:after="200"/>
        <w:ind w:left="0" w:hanging="0"/>
        <w:contextualSpacing/>
        <w:jc w:val="left"/>
        <w:rPr>
          <w:rFonts w:eastAsia="Arial Narrow"/>
        </w:rPr>
      </w:pPr>
      <w:r>
        <w:rPr>
          <w:color w:val="000000"/>
        </w:rPr>
        <w:t xml:space="preserve">  </w:t>
      </w:r>
      <w:r>
        <w:rPr>
          <w:color w:val="000000"/>
        </w:rPr>
        <w:t xml:space="preserve">6.    Grantodawca, dokonujący weryfikacji </w:t>
      </w:r>
      <w:r>
        <w:rPr>
          <w:b/>
          <w:bCs/>
          <w:color w:val="000000"/>
        </w:rPr>
        <w:t xml:space="preserve"> </w:t>
      </w:r>
      <w:r>
        <w:rPr>
          <w:color w:val="000000"/>
        </w:rPr>
        <w:t>Wniosku, może dokonać poprawy oczywistych omyłek pisarskich, zawartych we Wniosku, po uzgodnieniu mai</w:t>
      </w:r>
      <w:r>
        <w:rPr/>
        <w:t>lowym/telefonicznym z Grantobiorcą lub przy wykorzystaniu systemu IT LGD,Poprawa/uzupełnienie informacji we Wniosku przez Gratodawcę nie może prowadzić do istotnej modyfikacji treści merytorycznej i finansowej wniosku.</w:t>
      </w:r>
    </w:p>
    <w:p>
      <w:pPr>
        <w:pStyle w:val="ListParagraph"/>
        <w:spacing w:before="120" w:after="200"/>
        <w:ind w:left="360" w:hanging="0"/>
        <w:contextualSpacing/>
        <w:jc w:val="left"/>
        <w:rPr>
          <w:rFonts w:eastAsia="Arial Narrow"/>
        </w:rPr>
      </w:pPr>
      <w:r>
        <w:rPr>
          <w:rFonts w:eastAsia="Arial Narrow"/>
        </w:rPr>
      </w:r>
    </w:p>
    <w:p>
      <w:pPr>
        <w:pStyle w:val="ListParagraph"/>
        <w:numPr>
          <w:ilvl w:val="0"/>
          <w:numId w:val="0"/>
        </w:numPr>
        <w:tabs>
          <w:tab w:val="clear" w:pos="708"/>
          <w:tab w:val="left" w:pos="-360" w:leader="none"/>
        </w:tabs>
        <w:spacing w:before="120" w:after="200"/>
        <w:ind w:left="0" w:hanging="0"/>
        <w:contextualSpacing/>
        <w:jc w:val="left"/>
        <w:rPr>
          <w:rFonts w:eastAsia="Arial Narrow"/>
        </w:rPr>
      </w:pPr>
      <w:r>
        <w:rPr/>
        <w:t>7.     Weryfikacja wstępna wniosku dokonywana jest w oparciu o Kartę weryfikacji wstępnej, która stanowi załąc</w:t>
      </w:r>
      <w:r>
        <w:rPr>
          <w:sz w:val="24"/>
          <w:szCs w:val="24"/>
        </w:rPr>
        <w:t>znik nr 3 do Procedury wyboru i oceny grantobiorców w ramach projektów grantowych wraz z opisem sposobu rozliczania grantów, monitorowania i kontroli, współfinansowanego w ramach Europejskiego Funduszu Społecznego Plus Fundusze Europejskie dla Lubuskiego 2021-2027.</w:t>
      </w:r>
    </w:p>
    <w:p>
      <w:pPr>
        <w:pStyle w:val="ListParagraph"/>
        <w:spacing w:before="120" w:after="200"/>
        <w:ind w:left="360" w:hanging="0"/>
        <w:contextualSpacing/>
        <w:jc w:val="left"/>
        <w:rPr>
          <w:rFonts w:eastAsia="Arial Narrow"/>
          <w:color w:val="000000"/>
          <w:sz w:val="24"/>
          <w:szCs w:val="24"/>
          <w:highlight w:val="yellow"/>
        </w:rPr>
      </w:pPr>
      <w:r>
        <w:rPr>
          <w:rFonts w:eastAsia="Arial Narrow"/>
          <w:color w:val="000000"/>
          <w:sz w:val="24"/>
          <w:szCs w:val="24"/>
          <w:highlight w:val="yellow"/>
        </w:rPr>
      </w:r>
    </w:p>
    <w:p>
      <w:pPr>
        <w:pStyle w:val="ListParagraph"/>
        <w:numPr>
          <w:ilvl w:val="0"/>
          <w:numId w:val="0"/>
        </w:numPr>
        <w:tabs>
          <w:tab w:val="clear" w:pos="708"/>
          <w:tab w:val="left" w:pos="-360" w:leader="none"/>
        </w:tabs>
        <w:spacing w:before="120" w:after="200"/>
        <w:ind w:left="0" w:hanging="0"/>
        <w:contextualSpacing/>
        <w:jc w:val="left"/>
        <w:rPr>
          <w:sz w:val="24"/>
          <w:szCs w:val="24"/>
        </w:rPr>
      </w:pPr>
      <w:r>
        <w:rPr>
          <w:color w:val="000000"/>
          <w:sz w:val="24"/>
          <w:szCs w:val="24"/>
        </w:rPr>
        <w:t>8.     Warunkiem zakwalifikowania wniosku do oceny</w:t>
      </w:r>
      <w:r>
        <w:rPr>
          <w:color w:val="000000"/>
          <w:sz w:val="24"/>
          <w:szCs w:val="24"/>
          <w:lang w:val="pl-PL"/>
        </w:rPr>
        <w:t xml:space="preserve"> pod kątem </w:t>
      </w:r>
      <w:r>
        <w:rPr>
          <w:color w:val="000000"/>
          <w:sz w:val="24"/>
          <w:szCs w:val="24"/>
        </w:rPr>
        <w:t>zgodności z LSR, jest uzyskanie pozytywnej weryfikacji</w:t>
      </w:r>
      <w:r>
        <w:rPr>
          <w:color w:val="000000"/>
          <w:sz w:val="24"/>
          <w:szCs w:val="24"/>
          <w:lang w:val="pl-PL"/>
        </w:rPr>
        <w:t xml:space="preserve"> wstępnej.</w:t>
      </w:r>
      <w:bookmarkStart w:id="23" w:name="_Hlk155958444"/>
    </w:p>
    <w:p>
      <w:pPr>
        <w:pStyle w:val="ListParagraph"/>
        <w:spacing w:before="120" w:after="200"/>
        <w:ind w:left="360" w:hanging="0"/>
        <w:contextualSpacing/>
        <w:jc w:val="left"/>
        <w:rPr>
          <w:rFonts w:eastAsia="Arial Narrow"/>
          <w:color w:val="000000"/>
        </w:rPr>
      </w:pPr>
      <w:r>
        <w:rPr>
          <w:rFonts w:eastAsia="Arial Narrow"/>
          <w:color w:val="000000"/>
        </w:rPr>
      </w:r>
    </w:p>
    <w:p>
      <w:pPr>
        <w:pStyle w:val="ListParagraph"/>
        <w:numPr>
          <w:ilvl w:val="0"/>
          <w:numId w:val="0"/>
        </w:numPr>
        <w:tabs>
          <w:tab w:val="clear" w:pos="708"/>
          <w:tab w:val="left" w:pos="-360" w:leader="none"/>
        </w:tabs>
        <w:spacing w:before="120" w:after="200"/>
        <w:ind w:left="0" w:hanging="0"/>
        <w:contextualSpacing/>
        <w:jc w:val="left"/>
        <w:rPr>
          <w:color w:val="000000"/>
        </w:rPr>
      </w:pPr>
      <w:r>
        <w:rPr>
          <w:color w:val="000000"/>
        </w:rPr>
        <w:t xml:space="preserve">9.     Ocena zgodności projektu z LSR, dokonywana jest w oparciu o Kartę zgodności z LSR, która stanowi załącznik nr 4 do </w:t>
      </w:r>
      <w:bookmarkEnd w:id="23"/>
      <w:r>
        <w:rPr>
          <w:color w:val="000000"/>
        </w:rPr>
        <w:t>Procedury wyboru i oceny grantobiorców w ramach projektów grantowych wraz z opisem sposobu rozliczania grantów, monitorowania i kontroli, współfinansowanego w ramach Europejskiego Funduszu Społecznego Plus Fundusze Europejskie dla Lubuskiego 2021-2027.</w:t>
      </w:r>
    </w:p>
    <w:p>
      <w:pPr>
        <w:pStyle w:val="ListParagraph"/>
        <w:spacing w:before="120" w:after="200"/>
        <w:ind w:left="360" w:hanging="0"/>
        <w:contextualSpacing/>
        <w:jc w:val="left"/>
        <w:rPr>
          <w:rFonts w:eastAsia="Arial Narrow"/>
          <w:color w:val="000000"/>
        </w:rPr>
      </w:pPr>
      <w:r>
        <w:rPr>
          <w:rFonts w:eastAsia="Arial Narrow"/>
          <w:color w:val="000000"/>
        </w:rPr>
      </w:r>
    </w:p>
    <w:p>
      <w:pPr>
        <w:pStyle w:val="ListParagraph"/>
        <w:numPr>
          <w:ilvl w:val="0"/>
          <w:numId w:val="0"/>
        </w:numPr>
        <w:tabs>
          <w:tab w:val="clear" w:pos="708"/>
          <w:tab w:val="left" w:pos="-360" w:leader="none"/>
        </w:tabs>
        <w:spacing w:before="120" w:after="200"/>
        <w:ind w:left="0" w:hanging="0"/>
        <w:contextualSpacing/>
        <w:jc w:val="left"/>
        <w:rPr>
          <w:color w:val="000000"/>
        </w:rPr>
      </w:pPr>
      <w:r>
        <w:rPr>
          <w:color w:val="000000"/>
        </w:rPr>
        <w:t xml:space="preserve">10.    Warunkiem zakwalifikowania Wniosku do dalszego etapu oceny projektu –  </w:t>
      </w:r>
      <w:r>
        <w:rPr>
          <w:b/>
          <w:bCs/>
          <w:color w:val="000000"/>
        </w:rPr>
        <w:t xml:space="preserve">wg LKW </w:t>
      </w:r>
      <w:r>
        <w:rPr>
          <w:color w:val="000000"/>
        </w:rPr>
        <w:t xml:space="preserve"> jest uzyskanie pozytywnej oceny zgodności projektu z LSR. </w:t>
      </w:r>
    </w:p>
    <w:p>
      <w:pPr>
        <w:pStyle w:val="ListParagraph"/>
        <w:spacing w:before="120" w:after="200"/>
        <w:ind w:left="360" w:hanging="0"/>
        <w:contextualSpacing/>
        <w:jc w:val="left"/>
        <w:rPr>
          <w:rFonts w:eastAsia="Arial Narrow"/>
          <w:color w:val="000000"/>
        </w:rPr>
      </w:pPr>
      <w:r>
        <w:rPr>
          <w:rFonts w:eastAsia="Arial Narrow"/>
          <w:color w:val="000000"/>
        </w:rPr>
      </w:r>
    </w:p>
    <w:p>
      <w:pPr>
        <w:pStyle w:val="ListParagraph"/>
        <w:numPr>
          <w:ilvl w:val="0"/>
          <w:numId w:val="0"/>
        </w:numPr>
        <w:tabs>
          <w:tab w:val="clear" w:pos="708"/>
          <w:tab w:val="left" w:pos="-360" w:leader="none"/>
        </w:tabs>
        <w:spacing w:before="120" w:after="200"/>
        <w:ind w:left="0" w:hanging="0"/>
        <w:contextualSpacing/>
        <w:jc w:val="left"/>
        <w:rPr>
          <w:rFonts w:eastAsia="Arial Narrow"/>
        </w:rPr>
      </w:pPr>
      <w:r>
        <w:rPr>
          <w:color w:val="000000"/>
        </w:rPr>
        <w:t>11.    Ocena wniosku wg</w:t>
      </w:r>
      <w:r>
        <w:rPr>
          <w:b/>
          <w:bCs/>
          <w:color w:val="000000"/>
        </w:rPr>
        <w:t xml:space="preserve"> LKW </w:t>
      </w:r>
      <w:r>
        <w:rPr>
          <w:color w:val="000000"/>
        </w:rPr>
        <w:t xml:space="preserve">dokonywana jest w oparciu o Kartę oceny </w:t>
      </w:r>
      <w:r>
        <w:rPr>
          <w:b/>
          <w:bCs/>
          <w:color w:val="000000"/>
        </w:rPr>
        <w:t xml:space="preserve">LKW </w:t>
      </w:r>
      <w:r>
        <w:rPr>
          <w:color w:val="000000"/>
        </w:rPr>
        <w:t xml:space="preserve"> </w:t>
      </w:r>
      <w:r>
        <w:rPr>
          <w:strike/>
          <w:color w:val="000000"/>
        </w:rPr>
        <w:t>merytorycznej</w:t>
      </w:r>
      <w:r>
        <w:rPr>
          <w:color w:val="000000"/>
        </w:rPr>
        <w:t>, która stanowi załącznik nr 5b do Procedury wyboru i oceny grantobiorców w ramach projektów grantowych wraz z opisem sposobu rozliczania grantów, monitorowania i kontr</w:t>
      </w:r>
      <w:r>
        <w:rPr/>
        <w:t>oli, współfinansowanego w ramach Europejskiego Funduszu Społecznego Plus Fundusze Europejskie dla Lubuskiego 2021-2027.</w:t>
      </w:r>
    </w:p>
    <w:p>
      <w:pPr>
        <w:pStyle w:val="ListParagraph"/>
        <w:spacing w:before="120" w:after="200"/>
        <w:ind w:left="360" w:hanging="0"/>
        <w:contextualSpacing/>
        <w:jc w:val="left"/>
        <w:rPr>
          <w:rFonts w:eastAsia="Arial Narrow"/>
        </w:rPr>
      </w:pPr>
      <w:r>
        <w:rPr>
          <w:rFonts w:eastAsia="Arial Narrow"/>
        </w:rPr>
      </w:r>
    </w:p>
    <w:p>
      <w:pPr>
        <w:pStyle w:val="ListParagraph"/>
        <w:numPr>
          <w:ilvl w:val="0"/>
          <w:numId w:val="0"/>
        </w:numPr>
        <w:tabs>
          <w:tab w:val="clear" w:pos="708"/>
          <w:tab w:val="left" w:pos="-360" w:leader="none"/>
        </w:tabs>
        <w:spacing w:before="120" w:after="200"/>
        <w:ind w:left="0" w:hanging="0"/>
        <w:contextualSpacing/>
        <w:jc w:val="left"/>
        <w:rPr>
          <w:color w:val="000000"/>
        </w:rPr>
      </w:pPr>
      <w:r>
        <w:rPr>
          <w:color w:val="000000"/>
        </w:rPr>
        <w:t>1</w:t>
      </w:r>
      <w:r>
        <w:rPr>
          <w:i w:val="false"/>
          <w:iCs w:val="false"/>
          <w:color w:val="000000"/>
        </w:rPr>
        <w:t>2.    Warunki wyboru projektu do dofinansowania/przyznania grantu określa Procedury wyboru i oceny grantobiorców w ramach projektów grantowych wraz z opisem sposobu rozliczania grantów, monitorowania i kontroli, współfinansowanego w ramach Europejskiego Funduszu Społecznego Plus Fundusze Europejskie dla Lubuskiego 2021-2027, która stanowi załącznik nr 1 do niniejszego Regulaminu.</w:t>
      </w:r>
    </w:p>
    <w:p>
      <w:pPr>
        <w:pStyle w:val="ListParagraph"/>
        <w:spacing w:before="120" w:after="200"/>
        <w:ind w:left="360" w:hanging="0"/>
        <w:contextualSpacing/>
        <w:jc w:val="left"/>
        <w:rPr>
          <w:rFonts w:eastAsia="Arial Narrow"/>
          <w:color w:val="000000"/>
        </w:rPr>
      </w:pPr>
      <w:r>
        <w:rPr>
          <w:rFonts w:eastAsia="Arial Narrow"/>
          <w:color w:val="000000"/>
        </w:rPr>
      </w:r>
    </w:p>
    <w:p>
      <w:pPr>
        <w:pStyle w:val="ListParagraph"/>
        <w:numPr>
          <w:ilvl w:val="0"/>
          <w:numId w:val="0"/>
        </w:numPr>
        <w:tabs>
          <w:tab w:val="clear" w:pos="708"/>
          <w:tab w:val="left" w:pos="-360" w:leader="none"/>
        </w:tabs>
        <w:spacing w:before="120" w:after="200"/>
        <w:ind w:left="0" w:hanging="0"/>
        <w:contextualSpacing/>
        <w:jc w:val="left"/>
        <w:rPr>
          <w:color w:val="000000"/>
        </w:rPr>
      </w:pPr>
      <w:r>
        <w:rPr>
          <w:color w:val="000000"/>
        </w:rPr>
        <w:t xml:space="preserve">13.  </w:t>
      </w:r>
      <w:r>
        <w:rPr>
          <w:rFonts w:eastAsia="Arial Narrow"/>
          <w:color w:val="000000"/>
        </w:rPr>
        <w:t>Wyniki oceny i wyboru grantobiorców w ramach naboru publikowane są na  stronie internetowej LGD poprzez zamieszczenie:</w:t>
      </w:r>
    </w:p>
    <w:p>
      <w:pPr>
        <w:pStyle w:val="Akapitzlist"/>
        <w:numPr>
          <w:ilvl w:val="0"/>
          <w:numId w:val="0"/>
        </w:numPr>
        <w:spacing w:before="120" w:after="200"/>
        <w:ind w:left="0" w:hanging="0"/>
        <w:contextualSpacing/>
        <w:jc w:val="left"/>
        <w:rPr>
          <w:color w:val="000000"/>
        </w:rPr>
      </w:pPr>
      <w:r>
        <w:rPr>
          <w:rFonts w:eastAsia="Arial Narrow" w:cs="Arial Narrow"/>
          <w:color w:val="000000"/>
        </w:rPr>
        <w:t xml:space="preserve">a)    </w:t>
      </w:r>
      <w:r>
        <w:rPr>
          <w:rFonts w:eastAsia="Arial Narrow"/>
          <w:color w:val="000000"/>
        </w:rPr>
        <w:t>Listy ocenionych wniosków i wybranych grantobiorców;</w:t>
      </w:r>
    </w:p>
    <w:p>
      <w:pPr>
        <w:pStyle w:val="Akapitzlist"/>
        <w:numPr>
          <w:ilvl w:val="0"/>
          <w:numId w:val="0"/>
        </w:numPr>
        <w:spacing w:before="120" w:after="200"/>
        <w:ind w:left="0" w:hanging="0"/>
        <w:contextualSpacing/>
        <w:jc w:val="left"/>
        <w:rPr>
          <w:color w:val="000000"/>
        </w:rPr>
      </w:pPr>
      <w:r>
        <w:rPr>
          <w:rFonts w:eastAsia="Arial Narrow"/>
          <w:color w:val="000000"/>
        </w:rPr>
        <w:t>b)    Protokołu z posiedzenia Rady LGD dotyczącego oceny wniosków i wyboru grantobiorców oraz ustalenia kwoty wsparcia.</w:t>
      </w:r>
    </w:p>
    <w:p>
      <w:pPr>
        <w:pStyle w:val="ListParagraph"/>
        <w:numPr>
          <w:ilvl w:val="0"/>
          <w:numId w:val="0"/>
        </w:numPr>
        <w:tabs>
          <w:tab w:val="clear" w:pos="708"/>
          <w:tab w:val="left" w:pos="-360" w:leader="none"/>
        </w:tabs>
        <w:spacing w:before="120" w:after="200"/>
        <w:ind w:left="0" w:hanging="0"/>
        <w:contextualSpacing/>
        <w:jc w:val="left"/>
        <w:rPr>
          <w:rFonts w:eastAsia="Arial Narrow"/>
        </w:rPr>
      </w:pPr>
      <w:r>
        <w:rPr/>
        <w:t xml:space="preserve">14.  </w:t>
      </w:r>
      <w:r>
        <w:rPr>
          <w:rFonts w:eastAsia="Arial Narrow"/>
        </w:rPr>
        <w:t>Po zakończeniu procesu oceny i wyboru grantobiorców następuje także  sporządzenie i wysłanie</w:t>
      </w:r>
      <w:r>
        <w:rPr/>
        <w:t xml:space="preserve"> na adres poczty elektronicznej wskazany we Wniosku lub poprzez system IT LGD</w:t>
      </w:r>
      <w:r>
        <w:rPr>
          <w:rFonts w:eastAsia="Arial Narrow"/>
        </w:rPr>
        <w:t xml:space="preserve"> pism informujących o wyniku oceny i wyboru do wszystkich wnioskodawców.</w:t>
      </w:r>
    </w:p>
    <w:p>
      <w:pPr>
        <w:pStyle w:val="ListParagraph"/>
        <w:spacing w:before="120" w:after="200"/>
        <w:ind w:left="360" w:hanging="0"/>
        <w:contextualSpacing/>
        <w:jc w:val="left"/>
        <w:rPr>
          <w:rFonts w:eastAsia="Arial Narrow"/>
        </w:rPr>
      </w:pPr>
      <w:r>
        <w:rPr>
          <w:rFonts w:eastAsia="Arial Narrow"/>
        </w:rPr>
      </w:r>
    </w:p>
    <w:p>
      <w:pPr>
        <w:pStyle w:val="ListParagraph"/>
        <w:numPr>
          <w:ilvl w:val="0"/>
          <w:numId w:val="0"/>
        </w:numPr>
        <w:tabs>
          <w:tab w:val="clear" w:pos="708"/>
          <w:tab w:val="left" w:pos="-360" w:leader="none"/>
        </w:tabs>
        <w:spacing w:before="120" w:after="200"/>
        <w:ind w:left="0" w:hanging="0"/>
        <w:contextualSpacing/>
        <w:jc w:val="left"/>
        <w:rPr>
          <w:rFonts w:eastAsia="Arial Narrow"/>
        </w:rPr>
      </w:pPr>
      <w:r>
        <w:rPr/>
        <w:t>15.  Grantobiorca może zrezygnować z udziału w Projekcie zarówno przed, jak i po zakończeniu oceny Wniosku.</w:t>
      </w:r>
    </w:p>
    <w:p>
      <w:pPr>
        <w:pStyle w:val="ListParagraph"/>
        <w:numPr>
          <w:ilvl w:val="0"/>
          <w:numId w:val="0"/>
        </w:numPr>
        <w:tabs>
          <w:tab w:val="clear" w:pos="708"/>
          <w:tab w:val="left" w:pos="-360" w:leader="none"/>
        </w:tabs>
        <w:spacing w:before="120" w:after="200"/>
        <w:ind w:left="0" w:hanging="0"/>
        <w:contextualSpacing/>
        <w:jc w:val="left"/>
        <w:rPr>
          <w:rFonts w:eastAsia="Arial Narrow"/>
        </w:rPr>
      </w:pPr>
      <w:r>
        <w:rPr>
          <w:rFonts w:eastAsia="Arial Narrow"/>
        </w:rPr>
      </w:r>
    </w:p>
    <w:p>
      <w:pPr>
        <w:pStyle w:val="ListParagraph"/>
        <w:spacing w:before="120" w:after="200"/>
        <w:ind w:left="360" w:hanging="0"/>
        <w:contextualSpacing/>
        <w:jc w:val="left"/>
        <w:rPr>
          <w:rFonts w:eastAsia="Arial Narrow"/>
        </w:rPr>
      </w:pPr>
      <w:r>
        <w:rPr>
          <w:rFonts w:eastAsia="Arial Narrow"/>
        </w:rPr>
      </w:r>
    </w:p>
    <w:p>
      <w:pPr>
        <w:pStyle w:val="ListParagraph"/>
        <w:numPr>
          <w:ilvl w:val="0"/>
          <w:numId w:val="0"/>
        </w:numPr>
        <w:tabs>
          <w:tab w:val="clear" w:pos="708"/>
          <w:tab w:val="left" w:pos="-360" w:leader="none"/>
        </w:tabs>
        <w:spacing w:before="120" w:after="200"/>
        <w:ind w:left="0" w:hanging="0"/>
        <w:contextualSpacing/>
        <w:jc w:val="left"/>
        <w:rPr>
          <w:rFonts w:eastAsia="Arial Narrow"/>
        </w:rPr>
      </w:pPr>
      <w:r>
        <w:rPr/>
        <w:t>16.   W przypadku wycofania Wniosku przez Grantobiorcę przed oceną Wniosku, Wniosek zostaje pozostawiony bez rozpatrzenia.</w:t>
      </w:r>
    </w:p>
    <w:p>
      <w:pPr>
        <w:pStyle w:val="ListParagraph"/>
        <w:spacing w:before="120" w:after="200"/>
        <w:ind w:left="360" w:hanging="0"/>
        <w:contextualSpacing/>
        <w:jc w:val="left"/>
        <w:rPr>
          <w:rFonts w:eastAsia="Arial Narrow"/>
        </w:rPr>
      </w:pPr>
      <w:r>
        <w:rPr>
          <w:rFonts w:eastAsia="Arial Narrow"/>
        </w:rPr>
      </w:r>
    </w:p>
    <w:p>
      <w:pPr>
        <w:pStyle w:val="ListParagraph"/>
        <w:numPr>
          <w:ilvl w:val="0"/>
          <w:numId w:val="0"/>
        </w:numPr>
        <w:tabs>
          <w:tab w:val="clear" w:pos="708"/>
          <w:tab w:val="left" w:pos="-360" w:leader="none"/>
        </w:tabs>
        <w:spacing w:before="120" w:after="200"/>
        <w:ind w:left="0" w:hanging="0"/>
        <w:contextualSpacing/>
        <w:jc w:val="left"/>
        <w:rPr/>
      </w:pPr>
      <w:r>
        <w:rPr/>
        <w:t>17.  W przypadku rezygnacji Grantobiorcy przed zawarciem Umowy o powierzenie grantu, Grantodawca może zawrzeć umowę o powierzenie grantu z kolejnym podmiotem z listy rezerwowej, który osiągnął minimum punktowe,  po uprzednim podjęciu uchwały przez Radę.</w:t>
      </w:r>
    </w:p>
    <w:p>
      <w:pPr>
        <w:pStyle w:val="ListParagraph"/>
        <w:tabs>
          <w:tab w:val="clear" w:pos="708"/>
          <w:tab w:val="left" w:pos="-360" w:leader="none"/>
        </w:tabs>
        <w:spacing w:before="120" w:after="200"/>
        <w:ind w:left="720" w:hanging="0"/>
        <w:contextualSpacing/>
        <w:jc w:val="left"/>
        <w:rPr/>
      </w:pPr>
      <w:r>
        <w:rPr/>
      </w:r>
    </w:p>
    <w:p>
      <w:pPr>
        <w:pStyle w:val="ListParagraph"/>
        <w:tabs>
          <w:tab w:val="clear" w:pos="708"/>
          <w:tab w:val="left" w:pos="-360" w:leader="none"/>
        </w:tabs>
        <w:spacing w:before="120" w:after="200"/>
        <w:ind w:left="720" w:hanging="0"/>
        <w:contextualSpacing/>
        <w:jc w:val="left"/>
        <w:rPr/>
      </w:pPr>
      <w:r>
        <w:rPr/>
        <w:t>18.  W przypadku rezygnacji Grantobiorcy po zawarciu Umowy o powierzenie Grantu, Umowa o powierzenie Grantu ulega rozwiązaniu na zasadach w niej określonych.</w:t>
      </w:r>
    </w:p>
    <w:p>
      <w:pPr>
        <w:pStyle w:val="Nagwek11"/>
        <w:jc w:val="left"/>
        <w:rPr/>
      </w:pPr>
      <w:bookmarkStart w:id="24" w:name="_Toc163484307"/>
      <w:bookmarkStart w:id="25" w:name="_Toc162422619"/>
      <w:r>
        <w:rPr/>
        <w:t>Rozdział X KOSZTY KWALIFIKOWALNE I NIEKWALIFIKOWALNE</w:t>
      </w:r>
      <w:bookmarkEnd w:id="24"/>
      <w:bookmarkEnd w:id="25"/>
    </w:p>
    <w:p>
      <w:pPr>
        <w:pStyle w:val="ListParagraph"/>
        <w:widowControl w:val="false"/>
        <w:numPr>
          <w:ilvl w:val="0"/>
          <w:numId w:val="10"/>
        </w:numPr>
        <w:tabs>
          <w:tab w:val="clear" w:pos="708"/>
          <w:tab w:val="left" w:pos="704" w:leader="none"/>
        </w:tabs>
        <w:spacing w:before="185" w:after="0"/>
        <w:contextualSpacing/>
        <w:rPr>
          <w:rFonts w:cs="Arial"/>
          <w:szCs w:val="24"/>
        </w:rPr>
      </w:pPr>
      <w:r>
        <w:rPr>
          <w:rFonts w:cs="Arial"/>
          <w:szCs w:val="24"/>
        </w:rPr>
        <w:t xml:space="preserve">Wydatki mają służyć wyłącznie realizacji celu określonego w niniejszym Regulaminie, zgodnego z Programem Regionalnym Fundusze Europejskie dla Lubuskiego 2021-2027. </w:t>
      </w:r>
    </w:p>
    <w:p>
      <w:pPr>
        <w:pStyle w:val="ListParagraph"/>
        <w:widowControl w:val="false"/>
        <w:tabs>
          <w:tab w:val="clear" w:pos="708"/>
          <w:tab w:val="left" w:pos="704" w:leader="none"/>
        </w:tabs>
        <w:spacing w:before="185" w:after="0"/>
        <w:contextualSpacing/>
        <w:rPr>
          <w:rFonts w:cs="Arial"/>
          <w:szCs w:val="24"/>
        </w:rPr>
      </w:pPr>
      <w:r>
        <w:rPr>
          <w:rFonts w:cs="Arial"/>
          <w:szCs w:val="24"/>
        </w:rPr>
      </w:r>
    </w:p>
    <w:p>
      <w:pPr>
        <w:pStyle w:val="ListParagraph"/>
        <w:widowControl w:val="false"/>
        <w:numPr>
          <w:ilvl w:val="0"/>
          <w:numId w:val="10"/>
        </w:numPr>
        <w:tabs>
          <w:tab w:val="clear" w:pos="708"/>
          <w:tab w:val="left" w:pos="704" w:leader="none"/>
        </w:tabs>
        <w:spacing w:lineRule="auto" w:line="360" w:before="185" w:after="0"/>
        <w:contextualSpacing/>
        <w:rPr>
          <w:rFonts w:cs="Arial"/>
          <w:szCs w:val="24"/>
        </w:rPr>
      </w:pPr>
      <w:r>
        <w:rPr>
          <w:rFonts w:cs="Arial"/>
          <w:szCs w:val="24"/>
        </w:rPr>
        <w:t>Wydatki poniesione w ramach Grantu są uznane za kwalifikowalne, jeśli:</w:t>
      </w:r>
    </w:p>
    <w:p>
      <w:pPr>
        <w:pStyle w:val="ListParagraph"/>
        <w:widowControl w:val="false"/>
        <w:numPr>
          <w:ilvl w:val="0"/>
          <w:numId w:val="20"/>
        </w:numPr>
        <w:tabs>
          <w:tab w:val="clear" w:pos="708"/>
          <w:tab w:val="left" w:pos="704" w:leader="none"/>
        </w:tabs>
        <w:spacing w:before="185" w:after="0"/>
        <w:contextualSpacing/>
        <w:jc w:val="left"/>
        <w:rPr>
          <w:rFonts w:cs="Arial"/>
          <w:szCs w:val="24"/>
        </w:rPr>
      </w:pPr>
      <w:r>
        <w:rPr>
          <w:rFonts w:cs="Arial"/>
          <w:szCs w:val="24"/>
        </w:rPr>
        <w:t>dotyczą  realizacji celu i są zgodne z wytycznymi kawalifikowalności wydatków;</w:t>
      </w:r>
    </w:p>
    <w:p>
      <w:pPr>
        <w:pStyle w:val="ListParagraph"/>
        <w:widowControl w:val="false"/>
        <w:numPr>
          <w:ilvl w:val="0"/>
          <w:numId w:val="9"/>
        </w:numPr>
        <w:tabs>
          <w:tab w:val="clear" w:pos="708"/>
          <w:tab w:val="left" w:pos="704" w:leader="none"/>
        </w:tabs>
        <w:spacing w:before="185" w:after="0"/>
        <w:contextualSpacing/>
        <w:jc w:val="left"/>
        <w:rPr>
          <w:rFonts w:cs="Arial"/>
          <w:szCs w:val="24"/>
        </w:rPr>
      </w:pPr>
      <w:r>
        <w:rPr>
          <w:rFonts w:cs="Arial"/>
          <w:szCs w:val="24"/>
        </w:rPr>
        <w:t>są racjonalne i efektywne, zostały faktycznie poniesione w okresie wskazanym w Umowie, która stanowi załącznik nr 6 do</w:t>
      </w:r>
      <w:r>
        <w:rPr/>
        <w:t xml:space="preserve"> </w:t>
      </w:r>
      <w:r>
        <w:rPr>
          <w:rFonts w:cs="Arial"/>
          <w:szCs w:val="24"/>
        </w:rPr>
        <w:t xml:space="preserve">Procedury wyboru i oceny grantobiorców w ramach projektów grantowych wraz z opisem sposobu rozliczania grantów, monitorowania i kontroli, </w:t>
      </w:r>
      <w:r>
        <w:rPr/>
        <w:t>współ</w:t>
      </w:r>
      <w:r>
        <w:rPr>
          <w:rFonts w:cs="Arial"/>
          <w:szCs w:val="24"/>
        </w:rPr>
        <w:t>finansowanego w ramach Europejskiego Funduszu Społecznego Plus Fundusze Europejskie dla Lubuskiego 2021-2027;</w:t>
      </w:r>
    </w:p>
    <w:p>
      <w:pPr>
        <w:pStyle w:val="ListParagraph"/>
        <w:widowControl w:val="false"/>
        <w:numPr>
          <w:ilvl w:val="0"/>
          <w:numId w:val="9"/>
        </w:numPr>
        <w:tabs>
          <w:tab w:val="clear" w:pos="708"/>
          <w:tab w:val="left" w:pos="704" w:leader="none"/>
        </w:tabs>
        <w:spacing w:before="185" w:after="0"/>
        <w:contextualSpacing/>
        <w:jc w:val="left"/>
        <w:rPr>
          <w:rFonts w:cs="Arial"/>
          <w:szCs w:val="24"/>
        </w:rPr>
      </w:pPr>
      <w:r>
        <w:rPr>
          <w:rFonts w:cs="Arial"/>
          <w:szCs w:val="24"/>
        </w:rPr>
        <w:t>są udokumentowane w formie dokumentów finansowo-księgowych,</w:t>
      </w:r>
    </w:p>
    <w:p>
      <w:pPr>
        <w:pStyle w:val="ListParagraph"/>
        <w:widowControl w:val="false"/>
        <w:numPr>
          <w:ilvl w:val="0"/>
          <w:numId w:val="9"/>
        </w:numPr>
        <w:tabs>
          <w:tab w:val="clear" w:pos="708"/>
          <w:tab w:val="left" w:pos="704" w:leader="none"/>
        </w:tabs>
        <w:spacing w:before="185" w:after="0"/>
        <w:contextualSpacing/>
        <w:rPr>
          <w:rFonts w:cs="Arial"/>
          <w:szCs w:val="24"/>
        </w:rPr>
      </w:pPr>
      <w:r>
        <w:rPr>
          <w:rFonts w:cs="Arial"/>
          <w:szCs w:val="24"/>
        </w:rPr>
        <w:t>zostały przewidziane w zakresie rzeczowo-finansowym Wniosku,</w:t>
      </w:r>
    </w:p>
    <w:p>
      <w:pPr>
        <w:pStyle w:val="ListParagraph"/>
        <w:widowControl w:val="false"/>
        <w:numPr>
          <w:ilvl w:val="0"/>
          <w:numId w:val="9"/>
        </w:numPr>
        <w:tabs>
          <w:tab w:val="clear" w:pos="708"/>
          <w:tab w:val="left" w:pos="704" w:leader="none"/>
        </w:tabs>
        <w:spacing w:before="185" w:after="0"/>
        <w:contextualSpacing/>
        <w:rPr>
          <w:rFonts w:cs="Arial"/>
          <w:szCs w:val="24"/>
        </w:rPr>
      </w:pPr>
      <w:r>
        <w:rPr>
          <w:rFonts w:cs="Arial"/>
          <w:szCs w:val="24"/>
        </w:rPr>
        <w:t>są zgodne z odrębnymi przepisami prawa powszechnie obowiązującego.</w:t>
      </w:r>
    </w:p>
    <w:p>
      <w:pPr>
        <w:pStyle w:val="ListParagraph"/>
        <w:widowControl w:val="false"/>
        <w:tabs>
          <w:tab w:val="clear" w:pos="708"/>
          <w:tab w:val="left" w:pos="704" w:leader="none"/>
        </w:tabs>
        <w:spacing w:before="185" w:after="0"/>
        <w:contextualSpacing/>
        <w:rPr>
          <w:rFonts w:cs="Arial"/>
          <w:szCs w:val="24"/>
        </w:rPr>
      </w:pPr>
      <w:r>
        <w:rPr>
          <w:rFonts w:cs="Arial"/>
          <w:szCs w:val="24"/>
        </w:rPr>
      </w:r>
    </w:p>
    <w:p>
      <w:pPr>
        <w:pStyle w:val="ListParagraph"/>
        <w:widowControl w:val="false"/>
        <w:numPr>
          <w:ilvl w:val="0"/>
          <w:numId w:val="10"/>
        </w:numPr>
        <w:tabs>
          <w:tab w:val="clear" w:pos="708"/>
          <w:tab w:val="left" w:pos="704" w:leader="none"/>
        </w:tabs>
        <w:spacing w:lineRule="auto" w:line="360" w:before="185" w:after="0"/>
        <w:contextualSpacing/>
        <w:jc w:val="left"/>
        <w:rPr>
          <w:rFonts w:cs="Arial"/>
          <w:szCs w:val="24"/>
        </w:rPr>
      </w:pPr>
      <w:r>
        <w:rPr/>
        <w:t>W ramach realizacji projektu objętego grantem kwalifikowalne są wydatki związane z realizacją:</w:t>
      </w:r>
    </w:p>
    <w:p>
      <w:pPr>
        <w:pStyle w:val="ListParagraph"/>
        <w:numPr>
          <w:ilvl w:val="0"/>
          <w:numId w:val="3"/>
        </w:numPr>
        <w:ind w:left="1134" w:hanging="425"/>
        <w:jc w:val="left"/>
        <w:rPr/>
      </w:pPr>
      <w:r>
        <w:rPr/>
        <w:t>działania realizujące ideę uczenia się przez całe życie wspierające nabywanie, rozwijanie i podnoszenie umiejętności lub kompetencji podstawowych</w:t>
      </w:r>
      <w:r>
        <w:rPr>
          <w:rStyle w:val="Zakotwiczenieprzypisudolnego"/>
        </w:rPr>
        <w:footnoteReference w:id="5"/>
      </w:r>
      <w:r>
        <w:rPr/>
        <w:t>;</w:t>
      </w:r>
    </w:p>
    <w:p>
      <w:pPr>
        <w:pStyle w:val="ListParagraph"/>
        <w:numPr>
          <w:ilvl w:val="0"/>
          <w:numId w:val="3"/>
        </w:numPr>
        <w:ind w:left="1134" w:hanging="425"/>
        <w:jc w:val="left"/>
        <w:rPr/>
      </w:pPr>
      <w:r>
        <w:rPr/>
        <w:t xml:space="preserve">wsparcie w rozwijaniu kompetencji, umiejętności, uzdolnień oraz zainteresowań  (warsztaty typu: ekologicznego, zdrowe odżywianie, podstawowa obsługa komputera, poruszanie się po internecie, zwiększenie możliwości utrzymywania relacji społecznych poprzez umiejętne i świadome użytkowanie mass mediów i komunikatorów, poruszanie się po e-urzędach i wypełnianie druków formularzy i podań online, bezpieczeństwo w sieci, cyfrowe wsparcie dla </w:t>
      </w:r>
      <w:r>
        <w:rPr>
          <w:color w:val="000000"/>
        </w:rPr>
        <w:t>seniorów itp.);</w:t>
      </w:r>
    </w:p>
    <w:p>
      <w:pPr>
        <w:pStyle w:val="ListParagraph"/>
        <w:numPr>
          <w:ilvl w:val="0"/>
          <w:numId w:val="3"/>
        </w:numPr>
        <w:ind w:left="1134" w:hanging="425"/>
        <w:jc w:val="left"/>
        <w:rPr/>
      </w:pPr>
      <w:r>
        <w:rPr>
          <w:color w:val="000000"/>
        </w:rPr>
        <w:t>utworzenie lokalnych punktów wsparcia kształcenia;</w:t>
      </w:r>
    </w:p>
    <w:p>
      <w:pPr>
        <w:pStyle w:val="ListParagraph"/>
        <w:numPr>
          <w:ilvl w:val="0"/>
          <w:numId w:val="3"/>
        </w:numPr>
        <w:ind w:left="1134" w:hanging="425"/>
        <w:jc w:val="left"/>
        <w:rPr/>
      </w:pPr>
      <w:r>
        <w:rPr/>
        <w:t>koszty administracyjne (np. obsługa księgowa, koordynacja, obsługa realizacji projektu) do 5 % kwoty dofinansowania przy realizacji projektu objętego grantem o wartości powyżej</w:t>
        <w:br/>
        <w:t xml:space="preserve"> 50 000,00 zł.</w:t>
      </w:r>
    </w:p>
    <w:p>
      <w:pPr>
        <w:pStyle w:val="ListParagraph"/>
        <w:ind w:left="1134" w:hanging="0"/>
        <w:jc w:val="left"/>
        <w:rPr/>
      </w:pPr>
      <w:r>
        <w:rPr/>
      </w:r>
    </w:p>
    <w:p>
      <w:pPr>
        <w:pStyle w:val="ListParagraph"/>
        <w:widowControl w:val="false"/>
        <w:numPr>
          <w:ilvl w:val="0"/>
          <w:numId w:val="10"/>
        </w:numPr>
        <w:tabs>
          <w:tab w:val="clear" w:pos="708"/>
          <w:tab w:val="left" w:pos="704" w:leader="none"/>
        </w:tabs>
        <w:spacing w:before="185" w:after="0"/>
        <w:contextualSpacing/>
        <w:jc w:val="left"/>
        <w:rPr>
          <w:rFonts w:cs="Arial"/>
          <w:szCs w:val="24"/>
        </w:rPr>
      </w:pPr>
      <w:r>
        <w:rPr>
          <w:rFonts w:cs="Arial"/>
          <w:szCs w:val="24"/>
        </w:rPr>
        <w:t>Każdy Grantobiorca złoży do Umowy o powierzenie Grantu oświadczenie o kwalifikowalności podatku od towarów i usług (VAT). Jeżeli z oświadczenia będzie wynikać, iż Grantobiorca nie ma prawnej możliwości odliczenia VAT od zakupionych towarów i usług, wówczas VAT jest kwalifikowalnym składnikiem wydatku. Jeżeli Grantobiorca ma możliwość odzyskania VAT, to nie jest on kwalifikowalny i Grant będzie rozliczany w kwotach netto.</w:t>
      </w:r>
    </w:p>
    <w:p>
      <w:pPr>
        <w:pStyle w:val="ListParagraph"/>
        <w:widowControl w:val="false"/>
        <w:tabs>
          <w:tab w:val="clear" w:pos="708"/>
          <w:tab w:val="left" w:pos="704" w:leader="none"/>
        </w:tabs>
        <w:spacing w:before="185" w:after="0"/>
        <w:contextualSpacing/>
        <w:jc w:val="left"/>
        <w:rPr>
          <w:rFonts w:cs="Arial"/>
          <w:szCs w:val="24"/>
        </w:rPr>
      </w:pPr>
      <w:r>
        <w:rPr>
          <w:rFonts w:cs="Arial"/>
          <w:szCs w:val="24"/>
        </w:rPr>
      </w:r>
    </w:p>
    <w:p>
      <w:pPr>
        <w:pStyle w:val="ListParagraph"/>
        <w:widowControl w:val="false"/>
        <w:numPr>
          <w:ilvl w:val="0"/>
          <w:numId w:val="10"/>
        </w:numPr>
        <w:tabs>
          <w:tab w:val="clear" w:pos="708"/>
          <w:tab w:val="left" w:pos="704" w:leader="none"/>
        </w:tabs>
        <w:spacing w:before="185" w:after="0"/>
        <w:contextualSpacing/>
        <w:jc w:val="left"/>
        <w:rPr>
          <w:rFonts w:cs="Arial"/>
          <w:szCs w:val="24"/>
        </w:rPr>
      </w:pPr>
      <w:r>
        <w:rPr>
          <w:rFonts w:cs="Arial"/>
          <w:szCs w:val="24"/>
        </w:rPr>
        <w:t>Koszt</w:t>
      </w:r>
      <w:r>
        <w:rPr>
          <w:rFonts w:cs="Arial"/>
          <w:b w:val="false"/>
          <w:bCs w:val="false"/>
          <w:color w:val="000000"/>
          <w:szCs w:val="24"/>
        </w:rPr>
        <w:t>y obsługi Grantu (np. koszt prowadzenia rachunku bankowego, koszty biurowe – telefon, czynsz, prąd) nie są kwalifikowane.</w:t>
      </w:r>
    </w:p>
    <w:p>
      <w:pPr>
        <w:pStyle w:val="Akapitzlist"/>
        <w:widowControl w:val="false"/>
        <w:numPr>
          <w:ilvl w:val="0"/>
          <w:numId w:val="10"/>
        </w:numPr>
        <w:tabs>
          <w:tab w:val="clear" w:pos="708"/>
          <w:tab w:val="left" w:pos="704" w:leader="none"/>
        </w:tabs>
        <w:spacing w:before="185" w:after="0"/>
        <w:contextualSpacing/>
        <w:jc w:val="left"/>
        <w:rPr>
          <w:b w:val="false"/>
          <w:b w:val="false"/>
          <w:bCs w:val="false"/>
          <w:color w:val="000000"/>
        </w:rPr>
      </w:pPr>
      <w:r>
        <w:rPr>
          <w:rFonts w:cs="Arial"/>
          <w:b w:val="false"/>
          <w:bCs w:val="false"/>
          <w:color w:val="000000"/>
          <w:szCs w:val="24"/>
        </w:rPr>
        <w:t>LGD nie zakłada wydatków objętych cross-financingiem w zakresie projektu objętego grantem.</w:t>
        <w:br/>
        <w:t>Uwaga: LGD dopuszcza możliwość zakupów koniecznych do osiągnięcia celów projektu wynikających z wniosku o powierzenie grantu np. zakup sprzętu/urządzeń/mebli na potrzeby wyposażenia niezbędnego do realizacji wsparcia uczestników projektu, co nie stanowi cross-finansingu.</w:t>
      </w:r>
    </w:p>
    <w:p>
      <w:pPr>
        <w:pStyle w:val="ListParagraph"/>
        <w:widowControl w:val="false"/>
        <w:numPr>
          <w:ilvl w:val="0"/>
          <w:numId w:val="10"/>
        </w:numPr>
        <w:tabs>
          <w:tab w:val="clear" w:pos="708"/>
          <w:tab w:val="left" w:pos="704" w:leader="none"/>
        </w:tabs>
        <w:spacing w:before="185" w:after="0"/>
        <w:contextualSpacing/>
        <w:jc w:val="left"/>
        <w:rPr>
          <w:rFonts w:cs="Arial"/>
          <w:szCs w:val="24"/>
        </w:rPr>
      </w:pPr>
      <w:r>
        <w:rPr>
          <w:rFonts w:cs="Arial"/>
          <w:szCs w:val="24"/>
        </w:rPr>
        <w:t>Dopuszcza się aktualizację zakresu rzeczowo-finansowego zawartego we Wniosku o powierzenie Grantu, na prośbę Grantobiorcy złożoną przed zakończeniem terminu, na który został udzielony Grant. Aktualizacja zakresu rzeczowo-finansowego wymaga zawarcia aneksu do Umowy o powierzenie Grantu.</w:t>
      </w:r>
    </w:p>
    <w:p>
      <w:pPr>
        <w:pStyle w:val="ListParagraph"/>
        <w:widowControl w:val="false"/>
        <w:tabs>
          <w:tab w:val="clear" w:pos="708"/>
          <w:tab w:val="left" w:pos="704" w:leader="none"/>
        </w:tabs>
        <w:spacing w:before="185" w:after="0"/>
        <w:contextualSpacing/>
        <w:jc w:val="left"/>
        <w:rPr>
          <w:rFonts w:cs="Arial"/>
          <w:szCs w:val="24"/>
        </w:rPr>
      </w:pPr>
      <w:r>
        <w:rPr>
          <w:rFonts w:cs="Arial"/>
          <w:szCs w:val="24"/>
        </w:rPr>
      </w:r>
    </w:p>
    <w:p>
      <w:pPr>
        <w:pStyle w:val="ListParagraph"/>
        <w:widowControl w:val="false"/>
        <w:numPr>
          <w:ilvl w:val="0"/>
          <w:numId w:val="10"/>
        </w:numPr>
        <w:tabs>
          <w:tab w:val="clear" w:pos="708"/>
          <w:tab w:val="left" w:pos="704" w:leader="none"/>
        </w:tabs>
        <w:spacing w:before="185" w:after="0"/>
        <w:contextualSpacing/>
        <w:jc w:val="left"/>
        <w:rPr>
          <w:rFonts w:cs="Arial"/>
          <w:szCs w:val="24"/>
        </w:rPr>
      </w:pPr>
      <w:r>
        <w:rPr>
          <w:rFonts w:cs="Arial"/>
          <w:szCs w:val="24"/>
        </w:rPr>
        <w:t xml:space="preserve">Grantobiorca, bez zgody LGD, w ramach danej kategorii kosztów może dokonywać przesunięć </w:t>
        <w:br/>
        <w:t>w rodzajach kosztów określonych w budżecie wniosku o powierzenie grantu do 10% wartości środków, w odniesieniu do pozycji kosztu, z której są przesuwane środki, jak i do pozycji kosztu, na którą są przesuwane środki.</w:t>
      </w:r>
    </w:p>
    <w:p>
      <w:pPr>
        <w:pStyle w:val="ListParagraph"/>
        <w:widowControl w:val="false"/>
        <w:tabs>
          <w:tab w:val="clear" w:pos="708"/>
          <w:tab w:val="left" w:pos="704" w:leader="none"/>
        </w:tabs>
        <w:spacing w:before="185" w:after="0"/>
        <w:contextualSpacing/>
        <w:jc w:val="left"/>
        <w:rPr>
          <w:rFonts w:cs="Arial"/>
          <w:szCs w:val="24"/>
        </w:rPr>
      </w:pPr>
      <w:r>
        <w:rPr>
          <w:rFonts w:cs="Arial"/>
          <w:szCs w:val="24"/>
        </w:rPr>
      </w:r>
    </w:p>
    <w:p>
      <w:pPr>
        <w:pStyle w:val="ListParagraph"/>
        <w:widowControl w:val="false"/>
        <w:numPr>
          <w:ilvl w:val="0"/>
          <w:numId w:val="10"/>
        </w:numPr>
        <w:tabs>
          <w:tab w:val="clear" w:pos="708"/>
          <w:tab w:val="left" w:pos="704" w:leader="none"/>
        </w:tabs>
        <w:spacing w:before="185" w:after="0"/>
        <w:contextualSpacing/>
        <w:jc w:val="left"/>
        <w:rPr>
          <w:rFonts w:cs="Arial"/>
          <w:szCs w:val="24"/>
        </w:rPr>
      </w:pPr>
      <w:r>
        <w:rPr>
          <w:rFonts w:cs="Arial"/>
          <w:szCs w:val="24"/>
        </w:rPr>
        <w:t xml:space="preserve">W odniesieniu do środków finansowych przekazanych Grantobiorcy w ramach Grantu, </w:t>
      </w:r>
      <w:r>
        <w:rPr>
          <w:rFonts w:cs="Arial"/>
          <w:color w:val="000000"/>
          <w:szCs w:val="24"/>
        </w:rPr>
        <w:t>obowiązuje zakaz podwójnego finansowania. Koszty ponoszone w ramach realizacji Grantu nie mogą być w tym samym czasie finansowane z innych źródeł. Takie działanie skutkować będzie koniecznością zwrotu nieprawidłowo rozliczonej części otrzymanego Grantu.</w:t>
      </w:r>
    </w:p>
    <w:p>
      <w:pPr>
        <w:pStyle w:val="ListParagraph"/>
        <w:widowControl w:val="false"/>
        <w:tabs>
          <w:tab w:val="clear" w:pos="708"/>
          <w:tab w:val="left" w:pos="704" w:leader="none"/>
        </w:tabs>
        <w:spacing w:before="185" w:after="0"/>
        <w:contextualSpacing/>
        <w:jc w:val="left"/>
        <w:rPr>
          <w:rFonts w:cs="Arial"/>
          <w:color w:val="000000"/>
          <w:szCs w:val="24"/>
        </w:rPr>
      </w:pPr>
      <w:r>
        <w:rPr>
          <w:rFonts w:cs="Arial"/>
          <w:color w:val="000000"/>
          <w:szCs w:val="24"/>
        </w:rPr>
      </w:r>
    </w:p>
    <w:p>
      <w:pPr>
        <w:pStyle w:val="ListParagraph"/>
        <w:widowControl w:val="false"/>
        <w:numPr>
          <w:ilvl w:val="0"/>
          <w:numId w:val="10"/>
        </w:numPr>
        <w:tabs>
          <w:tab w:val="clear" w:pos="708"/>
          <w:tab w:val="left" w:pos="704" w:leader="none"/>
        </w:tabs>
        <w:suppressAutoHyphens w:val="false"/>
        <w:spacing w:before="185" w:after="0"/>
        <w:contextualSpacing/>
        <w:jc w:val="left"/>
        <w:rPr>
          <w:color w:val="000000"/>
        </w:rPr>
      </w:pPr>
      <w:r>
        <w:rPr>
          <w:rFonts w:cs="Arial"/>
          <w:color w:val="000000"/>
          <w:szCs w:val="24"/>
        </w:rPr>
        <w:t>Grantobiorca nie można pobierać opłat od uczestników projektu oraz uzyskiwać przychodu z realizowanego projektu.</w:t>
      </w:r>
    </w:p>
    <w:p>
      <w:pPr>
        <w:pStyle w:val="Akapitzlist"/>
        <w:widowControl w:val="false"/>
        <w:numPr>
          <w:ilvl w:val="0"/>
          <w:numId w:val="10"/>
        </w:numPr>
        <w:tabs>
          <w:tab w:val="clear" w:pos="708"/>
          <w:tab w:val="left" w:pos="704" w:leader="none"/>
        </w:tabs>
        <w:suppressAutoHyphens w:val="false"/>
        <w:spacing w:before="185" w:after="0"/>
        <w:contextualSpacing/>
        <w:jc w:val="left"/>
        <w:rPr>
          <w:color w:val="000000"/>
        </w:rPr>
      </w:pPr>
      <w:r>
        <w:rPr>
          <w:rFonts w:cs="Arial"/>
          <w:color w:val="000000"/>
          <w:szCs w:val="24"/>
        </w:rPr>
        <w:t>Warunkiem rozpoczęcia realizacji projektu objętego grantem jest podpisana</w:t>
      </w:r>
      <w:r>
        <w:rPr>
          <w:rFonts w:cs="Arial"/>
          <w:color w:val="000000"/>
          <w:szCs w:val="24"/>
          <w:lang w:val="pl-PL"/>
        </w:rPr>
        <w:t xml:space="preserve"> </w:t>
      </w:r>
      <w:r>
        <w:rPr>
          <w:rFonts w:cs="Arial"/>
          <w:color w:val="000000"/>
          <w:szCs w:val="24"/>
        </w:rPr>
        <w:t>Umowa o powierzenie grantu.</w:t>
      </w:r>
      <w:r>
        <w:rPr>
          <w:rFonts w:cs="Arial"/>
          <w:color w:val="000000"/>
          <w:szCs w:val="24"/>
          <w:lang w:val="pl-PL"/>
        </w:rPr>
        <w:t xml:space="preserve"> </w:t>
      </w:r>
      <w:r>
        <w:rPr>
          <w:rFonts w:cs="Arial"/>
          <w:color w:val="000000"/>
          <w:szCs w:val="24"/>
        </w:rPr>
        <w:t>Wydatki poniesione przed podpisaniem umowy o</w:t>
      </w:r>
      <w:r>
        <w:rPr>
          <w:rFonts w:cs="Arial"/>
          <w:color w:val="000000"/>
          <w:szCs w:val="24"/>
          <w:lang w:val="pl-PL"/>
        </w:rPr>
        <w:t xml:space="preserve"> </w:t>
      </w:r>
      <w:r>
        <w:rPr>
          <w:rFonts w:cs="Arial"/>
          <w:color w:val="000000"/>
          <w:szCs w:val="24"/>
        </w:rPr>
        <w:t xml:space="preserve">powierzenie grantu nie mogą zostać uznane za kwalifikowalne. </w:t>
      </w:r>
    </w:p>
    <w:p>
      <w:pPr>
        <w:pStyle w:val="ListParagraph"/>
        <w:widowControl w:val="false"/>
        <w:numPr>
          <w:ilvl w:val="0"/>
          <w:numId w:val="10"/>
        </w:numPr>
        <w:tabs>
          <w:tab w:val="clear" w:pos="708"/>
          <w:tab w:val="left" w:pos="704" w:leader="none"/>
        </w:tabs>
        <w:spacing w:before="185" w:after="0"/>
        <w:contextualSpacing/>
        <w:jc w:val="left"/>
        <w:rPr>
          <w:rFonts w:cs="Arial"/>
          <w:szCs w:val="24"/>
        </w:rPr>
      </w:pPr>
      <w:r>
        <w:rPr>
          <w:rFonts w:cs="Arial"/>
          <w:szCs w:val="24"/>
        </w:rPr>
        <w:t xml:space="preserve"> </w:t>
      </w:r>
      <w:r>
        <w:rPr>
          <w:rFonts w:cs="Arial"/>
          <w:szCs w:val="24"/>
        </w:rPr>
        <w:t>Zaleca się, aby Grantobiorca stosował klauzule społeczne/aspekty społeczne przy udzielaniu zamówień na wybrane usługi czy zakupy.</w:t>
      </w:r>
    </w:p>
    <w:p>
      <w:pPr>
        <w:pStyle w:val="Normal"/>
        <w:jc w:val="left"/>
        <w:rPr>
          <w:b/>
          <w:b/>
          <w:color w:val="FF0000"/>
        </w:rPr>
      </w:pPr>
      <w:r>
        <w:rPr>
          <w:b/>
          <w:color w:val="FF0000"/>
        </w:rPr>
      </w:r>
    </w:p>
    <w:p>
      <w:pPr>
        <w:pStyle w:val="Nagwek11"/>
        <w:jc w:val="left"/>
        <w:rPr/>
      </w:pPr>
      <w:bookmarkStart w:id="26" w:name="_Toc163484308"/>
      <w:bookmarkStart w:id="27" w:name="_Toc162422620"/>
      <w:r>
        <w:rPr/>
        <w:t>Rozdział XI WSKAŹNIKI DO OSIĄGNIĘCIA W RAMACH REALIZACJI PROJEKTU OBJĘTEGO GRANTEM</w:t>
      </w:r>
      <w:bookmarkEnd w:id="26"/>
      <w:bookmarkEnd w:id="27"/>
    </w:p>
    <w:p>
      <w:pPr>
        <w:pStyle w:val="Normal"/>
        <w:jc w:val="left"/>
        <w:rPr/>
      </w:pPr>
      <w:r>
        <w:rPr>
          <w:b/>
        </w:rPr>
        <w:t xml:space="preserve">Wskaźniki </w:t>
      </w:r>
      <w:r>
        <w:rPr/>
        <w:t>to główne narzędzie służące do monitorowania postępu w realizacji zamierzonych celów, działań,  rezultatów w ramach  powierzonego Grantu. Wskaźniki odnoszą się do produktu oraz rezultatów. Wskaźniki powinny w sposób precyzyjny i mierzalny umożliwić weryfikację stopnia realizacji danego celu.</w:t>
      </w:r>
    </w:p>
    <w:p>
      <w:pPr>
        <w:sectPr>
          <w:headerReference w:type="even" r:id="rId3"/>
          <w:headerReference w:type="default" r:id="rId4"/>
          <w:headerReference w:type="first" r:id="rId5"/>
          <w:footerReference w:type="even" r:id="rId6"/>
          <w:footerReference w:type="default" r:id="rId7"/>
          <w:footerReference w:type="first" r:id="rId8"/>
          <w:footnotePr>
            <w:numFmt w:val="decimal"/>
          </w:footnotePr>
          <w:type w:val="nextPage"/>
          <w:pgSz w:w="11906" w:h="16838"/>
          <w:pgMar w:left="1418" w:right="1418" w:gutter="0" w:header="567" w:top="1701" w:footer="709" w:bottom="1418"/>
          <w:pgNumType w:fmt="decimal"/>
          <w:formProt w:val="false"/>
          <w:titlePg/>
          <w:textDirection w:val="lrTb"/>
          <w:docGrid w:type="default" w:linePitch="360" w:charSpace="0"/>
        </w:sectPr>
        <w:pStyle w:val="Normal"/>
        <w:jc w:val="left"/>
        <w:rPr/>
      </w:pPr>
      <w:r>
        <w:rPr/>
        <w:t xml:space="preserve">Główną </w:t>
      </w:r>
      <w:r>
        <w:rPr>
          <w:b/>
        </w:rPr>
        <w:t>funkcją wskaźników</w:t>
      </w:r>
      <w:r>
        <w:rPr/>
        <w:t xml:space="preserve"> jest zmierzenie, na ile cel projektu (w przypadku wskaźników rezultatu) lub przewidziane w nim działania (wskaźniki produktu) zostały zrealizowane, tj. kiedy można uznać, że zidentyfikowany we wniosku o powierzenie grantu problem został rozwiązany lub złagodzony, a projekt zakończył się sukcesem. W trakcie realizacji projektu wskaźniki powinny ponadto umożliwiać mierzenie jego postępu względem celu projektu. Określając wskaźniki i ich wartości docelowe, należy mieć na uwadze ich definicje i sposób pomiaru określone w tabeli poniżej. Punktem wyjścia jest określenie wskaźników rezultatu, a następnie powiązanych z nimi wskaźników produktu. </w:t>
      </w:r>
    </w:p>
    <w:p>
      <w:pPr>
        <w:pStyle w:val="NoSpacing"/>
        <w:rPr>
          <w:rFonts w:ascii="Arial Narrow" w:hAnsi="Arial Narrow" w:cs="Times New Roman"/>
          <w:b/>
          <w:b/>
          <w:sz w:val="24"/>
          <w:szCs w:val="24"/>
        </w:rPr>
      </w:pPr>
      <w:r>
        <w:rPr>
          <w:rFonts w:ascii="Arial Narrow" w:hAnsi="Arial Narrow"/>
          <w:sz w:val="24"/>
          <w:szCs w:val="24"/>
        </w:rPr>
        <w:t xml:space="preserve">Tab. </w:t>
      </w:r>
      <w:r>
        <w:rPr>
          <w:rFonts w:cs="Times New Roman" w:ascii="Arial Narrow" w:hAnsi="Arial Narrow"/>
          <w:b/>
          <w:sz w:val="24"/>
          <w:szCs w:val="24"/>
        </w:rPr>
        <w:t>WSKAŹNIKI PRODUKTU I REZULTATU (OBLIGATORYJNE DLA KAŻDEGO PROJEKTU) OKREŚLONE W LSR LGD BD</w:t>
      </w:r>
    </w:p>
    <w:p>
      <w:pPr>
        <w:pStyle w:val="NoSpacing"/>
        <w:rPr>
          <w:rFonts w:ascii="Arial Narrow" w:hAnsi="Arial Narrow" w:cs="Times New Roman"/>
          <w:b/>
          <w:b/>
          <w:sz w:val="24"/>
          <w:szCs w:val="24"/>
        </w:rPr>
      </w:pPr>
      <w:r>
        <w:rPr>
          <w:rFonts w:cs="Times New Roman" w:ascii="Arial Narrow" w:hAnsi="Arial Narrow"/>
          <w:b/>
          <w:sz w:val="24"/>
          <w:szCs w:val="24"/>
        </w:rPr>
      </w:r>
    </w:p>
    <w:tbl>
      <w:tblPr>
        <w:tblStyle w:val="Tabelasiatki1jasna10"/>
        <w:tblW w:w="1460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1848"/>
        <w:gridCol w:w="7946"/>
        <w:gridCol w:w="2546"/>
        <w:gridCol w:w="2260"/>
      </w:tblGrid>
      <w:tr>
        <w:trPr>
          <w:cnfStyle w:val="100000000000" w:firstRow="1" w:lastRow="0" w:firstColumn="0" w:lastColumn="0" w:oddVBand="0" w:evenVBand="0" w:oddHBand="0" w:evenHBand="0" w:firstRowFirstColumn="0" w:firstRowLastColumn="0" w:lastRowFirstColumn="0" w:lastRowLastColumn="0"/>
        </w:trPr>
        <w:tc>
          <w:tcPr>
            <w:tcW w:w="1848"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vAlign w:val="center"/>
          </w:tcPr>
          <w:p>
            <w:pPr>
              <w:pStyle w:val="Normal"/>
              <w:widowControl w:val="false"/>
              <w:suppressAutoHyphens w:val="true"/>
              <w:spacing w:lineRule="auto" w:line="240" w:before="0" w:after="0"/>
              <w:jc w:val="center"/>
              <w:rPr>
                <w:rFonts w:cs="Times New Roman"/>
                <w:bCs w:val="false"/>
                <w:szCs w:val="24"/>
              </w:rPr>
            </w:pPr>
            <w:r>
              <w:rPr>
                <w:rFonts w:eastAsia="Calibri" w:cs="Times New Roman"/>
                <w:b/>
                <w:bCs/>
                <w:kern w:val="0"/>
                <w:sz w:val="22"/>
                <w:szCs w:val="24"/>
                <w:lang w:val="pl-PL" w:bidi="ar-SA"/>
              </w:rPr>
              <w:t>Wskaźniki produktu</w:t>
            </w:r>
          </w:p>
        </w:tc>
        <w:tc>
          <w:tcPr>
            <w:tcW w:w="7946" w:type="dxa"/>
            <w:tcBorders>
              <w:bottom w:val="single" w:sz="12" w:space="0" w:color="666666"/>
            </w:tcBorders>
            <w:vAlign w:val="center"/>
          </w:tcPr>
          <w:p>
            <w:pPr>
              <w:pStyle w:val="NoSpacing"/>
              <w:widowControl w:val="false"/>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4"/>
                <w:szCs w:val="24"/>
              </w:rPr>
            </w:pPr>
            <w:r>
              <w:rPr>
                <w:rFonts w:eastAsia="Calibri" w:cs="Times New Roman" w:ascii="Arial Narrow" w:hAnsi="Arial Narrow"/>
                <w:b/>
                <w:bCs/>
                <w:kern w:val="0"/>
                <w:sz w:val="24"/>
                <w:szCs w:val="24"/>
                <w:lang w:val="pl-PL" w:eastAsia="en-US" w:bidi="ar-SA"/>
              </w:rPr>
              <w:t>Definicja wskaźnika</w:t>
            </w:r>
          </w:p>
        </w:tc>
        <w:tc>
          <w:tcPr>
            <w:tcW w:w="2546" w:type="dxa"/>
            <w:tcBorders>
              <w:bottom w:val="single" w:sz="12" w:space="0" w:color="666666"/>
            </w:tcBorders>
            <w:vAlign w:val="center"/>
          </w:tcPr>
          <w:p>
            <w:pPr>
              <w:pStyle w:val="NoSpacing"/>
              <w:widowControl w:val="false"/>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sz w:val="24"/>
                <w:szCs w:val="24"/>
              </w:rPr>
            </w:pPr>
            <w:r>
              <w:rPr>
                <w:rFonts w:eastAsia="Calibri" w:cs="Times New Roman" w:ascii="Arial Narrow" w:hAnsi="Arial Narrow"/>
                <w:b/>
                <w:bCs/>
                <w:kern w:val="0"/>
                <w:sz w:val="24"/>
                <w:szCs w:val="24"/>
                <w:lang w:val="pl-PL" w:eastAsia="en-US" w:bidi="ar-SA"/>
              </w:rPr>
              <w:t>Źródło weryfikacji</w:t>
            </w:r>
          </w:p>
        </w:tc>
        <w:tc>
          <w:tcPr>
            <w:tcW w:w="2260" w:type="dxa"/>
            <w:tcBorders>
              <w:bottom w:val="single" w:sz="12" w:space="0" w:color="666666"/>
            </w:tcBorders>
            <w:vAlign w:val="center"/>
          </w:tcPr>
          <w:p>
            <w:pPr>
              <w:pStyle w:val="NoSpacing"/>
              <w:widowControl w:val="false"/>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s="Times New Roman"/>
                <w:bCs w:val="false"/>
                <w:sz w:val="24"/>
                <w:szCs w:val="24"/>
              </w:rPr>
            </w:pPr>
            <w:r>
              <w:rPr>
                <w:rFonts w:eastAsia="Calibri" w:cs="Times New Roman" w:ascii="Arial Narrow" w:hAnsi="Arial Narrow"/>
                <w:b/>
                <w:bCs/>
                <w:kern w:val="0"/>
                <w:sz w:val="24"/>
                <w:szCs w:val="24"/>
                <w:lang w:val="pl-PL" w:eastAsia="en-US" w:bidi="ar-SA"/>
              </w:rPr>
              <w:t>Wartość planowana do osiągnięcia w ramach naboru wniosków</w:t>
            </w:r>
          </w:p>
        </w:tc>
      </w:tr>
      <w:tr>
        <w:trPr/>
        <w:tc>
          <w:tcPr>
            <w:tcW w:w="14600" w:type="dxa"/>
            <w:gridSpan w:val="4"/>
            <w:cnfStyle w:val="001000000000" w:firstRow="0" w:lastRow="0" w:firstColumn="1" w:lastColumn="0" w:oddVBand="0" w:evenVBand="0" w:oddHBand="0" w:evenHBand="0" w:firstRowFirstColumn="0" w:firstRowLastColumn="0" w:lastRowFirstColumn="0" w:lastRowLastColumn="0"/>
            <w:tcBorders/>
            <w:shd w:color="auto" w:fill="D9D9D9" w:themeFill="background1" w:themeFillShade="d9" w:val="clear"/>
          </w:tcPr>
          <w:p>
            <w:pPr>
              <w:pStyle w:val="Normal"/>
              <w:widowControl w:val="false"/>
              <w:suppressAutoHyphens w:val="true"/>
              <w:spacing w:lineRule="auto" w:line="240" w:before="0" w:after="0"/>
              <w:jc w:val="center"/>
              <w:rPr>
                <w:rFonts w:cs="Times New Roman"/>
                <w:szCs w:val="24"/>
              </w:rPr>
            </w:pPr>
            <w:r>
              <w:rPr>
                <w:rFonts w:eastAsia="Times New Roman" w:cs="Times New Roman"/>
                <w:b/>
                <w:bCs/>
                <w:kern w:val="0"/>
                <w:sz w:val="22"/>
                <w:szCs w:val="24"/>
                <w:lang w:val="pl-PL" w:bidi="ar-SA"/>
              </w:rPr>
              <w:t>WSKAŹNIKI PRODUKTU</w:t>
            </w:r>
          </w:p>
        </w:tc>
      </w:tr>
      <w:tr>
        <w:trPr/>
        <w:tc>
          <w:tcPr>
            <w:tcW w:w="1848"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52" w:before="0" w:after="0"/>
              <w:jc w:val="center"/>
              <w:rPr>
                <w:kern w:val="2"/>
                <w:szCs w:val="24"/>
                <w:lang w:eastAsia="en-US"/>
              </w:rPr>
            </w:pPr>
            <w:r>
              <w:rPr>
                <w:rFonts w:eastAsia="Calibri" w:cs="Times New Roman"/>
                <w:b/>
                <w:bCs/>
                <w:kern w:val="2"/>
                <w:sz w:val="22"/>
                <w:szCs w:val="24"/>
                <w:lang w:val="pl-PL" w:eastAsia="en-US" w:bidi="ar-SA"/>
              </w:rPr>
              <w:t xml:space="preserve"> </w:t>
            </w:r>
            <w:bookmarkStart w:id="28" w:name="_Hlk170118997"/>
            <w:r>
              <w:rPr>
                <w:rFonts w:eastAsia="Calibri" w:cs="Times New Roman"/>
                <w:b/>
                <w:bCs/>
                <w:kern w:val="2"/>
                <w:sz w:val="22"/>
                <w:szCs w:val="24"/>
                <w:lang w:val="pl-PL" w:eastAsia="en-US" w:bidi="ar-SA"/>
              </w:rPr>
              <w:t>Liczba osób dorosłych objętych wsparciem w zakresie umiejętności lub kompetencji podstawowych realizowanym poza Bazą Usług Rozwojowych</w:t>
            </w:r>
            <w:bookmarkEnd w:id="28"/>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bCs w:val="false"/>
                <w:szCs w:val="24"/>
              </w:rPr>
            </w:pPr>
            <w:r>
              <w:rPr>
                <w:rFonts w:cs="Times New Roman"/>
                <w:b/>
                <w:bCs/>
                <w:sz w:val="22"/>
                <w:szCs w:val="24"/>
              </w:rPr>
            </w:r>
          </w:p>
          <w:p>
            <w:pPr>
              <w:pStyle w:val="Normal"/>
              <w:widowControl w:val="false"/>
              <w:suppressAutoHyphens w:val="true"/>
              <w:spacing w:lineRule="auto" w:line="240" w:before="0" w:after="0"/>
              <w:rPr>
                <w:rFonts w:cs="Times New Roman"/>
                <w:szCs w:val="24"/>
              </w:rPr>
            </w:pPr>
            <w:bookmarkStart w:id="29" w:name="_Hlk170119161"/>
            <w:r>
              <w:rPr>
                <w:rFonts w:eastAsia="Calibri" w:cs="Times New Roman"/>
                <w:b/>
                <w:bCs/>
                <w:kern w:val="0"/>
                <w:sz w:val="22"/>
                <w:szCs w:val="24"/>
                <w:lang w:val="pl-PL" w:bidi="ar-SA"/>
              </w:rPr>
              <w:t>Ludność objęta projektami w ramach strategii zintegrowanego rozwoju terytorialnego</w:t>
            </w:r>
            <w:bookmarkEnd w:id="29"/>
          </w:p>
        </w:tc>
        <w:tc>
          <w:tcPr>
            <w:tcW w:w="7946" w:type="dxa"/>
            <w:tcBorders/>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cs="Times New Roman"/>
                <w:kern w:val="0"/>
                <w:sz w:val="22"/>
                <w:szCs w:val="24"/>
                <w:lang w:val="pl-PL" w:bidi="ar-SA"/>
              </w:rPr>
              <w:t xml:space="preserve">Zgodnie z Listą Wskaźników Kluczowych 2021-2027 – EFS+ to osoby </w:t>
            </w:r>
            <w:r>
              <w:rPr>
                <w:rFonts w:eastAsia="Calibri" w:cs="Arial"/>
                <w:kern w:val="0"/>
                <w:sz w:val="22"/>
                <w:szCs w:val="24"/>
                <w:lang w:val="pl-PL" w:bidi="ar-SA"/>
              </w:rPr>
              <w:t xml:space="preserve"> dorosłe, objęte wsparciem w zakresie uzyskania lub podniesienia podstawowych umiejętności lub kompetencji, w tym cyfrowych (dot. grup wykluczonych cyfrowo). Wsparcie realizowane poza systemem BUR i PSF, umożliwiające wdrażanie Upskilling pathways, zgodnie z zaleceniem Rady z dnia 19 grudnia 2016 r. w sprawie ścieżek poprawy umiejętności: nowe możliwości dla dorosłych (2016/C 484/01).</w:t>
            </w:r>
          </w:p>
          <w:p>
            <w:pPr>
              <w:pStyle w:val="Normal"/>
              <w:widowControl w:val="false"/>
              <w:suppressAutoHyphens w:val="true"/>
              <w:spacing w:lineRule="auto" w:line="252" w:before="0" w:after="12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cs="Arial"/>
                <w:kern w:val="0"/>
                <w:sz w:val="22"/>
                <w:szCs w:val="24"/>
                <w:lang w:val="pl-PL" w:bidi="ar-SA"/>
              </w:rPr>
              <w:t>Osoba dorosła to osoba powyżej 18 lat. Wiek uczestników określany jest na podstawie daty urodzenia i ustalany w dniu rozpoczęcia udziału w projekcie.</w:t>
            </w:r>
          </w:p>
          <w:p>
            <w:pPr>
              <w:pStyle w:val="Normal"/>
              <w:widowControl w:val="false"/>
              <w:suppressAutoHyphens w:val="true"/>
              <w:spacing w:lineRule="auto" w:line="252" w:before="0" w:after="12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cs="Arial"/>
                <w:kern w:val="0"/>
                <w:sz w:val="22"/>
                <w:szCs w:val="24"/>
                <w:lang w:val="pl-PL" w:bidi="ar-SA"/>
              </w:rPr>
              <w:t>Wskaźnik mierzony w momencie rozpoczęcia udziału danej osoby w pierwszych zajęciach.</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cs="Arial"/>
                <w:kern w:val="0"/>
                <w:sz w:val="22"/>
                <w:szCs w:val="24"/>
                <w:lang w:val="pl-PL" w:bidi="ar-SA"/>
              </w:rPr>
              <w:t>Umiejętności/kompetencji podstawowych. (z ang. basic skills: literacy, numeracy, ICT skills) to podstawowe zdolności w zakresie rozumienia i tworzenia informacji, rozwijania i wykorzystania myślenia matematycznego oraz korzystania z technologii cyfrowych.</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Calibri" w:cs="Times New Roman"/>
                <w:kern w:val="0"/>
                <w:sz w:val="22"/>
                <w:szCs w:val="24"/>
                <w:lang w:val="pl-PL" w:bidi="ar-SA"/>
              </w:rPr>
              <w:t>.Liczba os</w:t>
            </w:r>
            <w:r>
              <w:rPr>
                <w:rFonts w:eastAsia="Calibri"/>
                <w:kern w:val="0"/>
                <w:sz w:val="22"/>
                <w:szCs w:val="24"/>
                <w:lang w:val="pl-PL" w:bidi="ar-SA"/>
              </w:rPr>
              <w:t>ób z obszaru objętego Lokalną Strategią Rozwoju, które uczestniczą w projektach realizowanych w ramach tej strategii.</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cs="Times New Roman"/>
                <w:sz w:val="22"/>
                <w:szCs w:val="24"/>
              </w:rPr>
            </w:r>
          </w:p>
        </w:tc>
        <w:tc>
          <w:tcPr>
            <w:tcW w:w="2546" w:type="dxa"/>
            <w:tcBorders/>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
                <w:bCs/>
                <w:kern w:val="0"/>
                <w:sz w:val="22"/>
                <w:szCs w:val="24"/>
                <w:lang w:val="pl-PL" w:bidi="ar-SA"/>
              </w:rPr>
              <w:t xml:space="preserve">Źródło pomiaru: </w:t>
            </w:r>
            <w:r>
              <w:rPr>
                <w:rFonts w:eastAsia="Calibri" w:cs="Times New Roman"/>
                <w:bCs/>
                <w:kern w:val="0"/>
                <w:sz w:val="22"/>
                <w:szCs w:val="24"/>
                <w:lang w:val="pl-PL" w:bidi="ar-SA"/>
              </w:rPr>
              <w:t>Formularz rekrutacyjny uczestnika do projektu, Listy obecności potwierdzające udział        w oferowanym wsparciu</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Cs/>
                <w:szCs w:val="24"/>
              </w:rPr>
            </w:pPr>
            <w:r>
              <w:rPr>
                <w:rFonts w:cs="Times New Roman"/>
                <w:bCs/>
                <w:sz w:val="22"/>
                <w:szCs w:val="24"/>
              </w:rPr>
            </w:r>
          </w:p>
          <w:p>
            <w:pPr>
              <w:pStyle w:val="NoSpacing"/>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Pr>
                <w:rFonts w:eastAsia="Calibri" w:cs="Times New Roman" w:ascii="Arial Narrow" w:hAnsi="Arial Narrow"/>
                <w:b/>
                <w:bCs/>
                <w:kern w:val="0"/>
                <w:sz w:val="24"/>
                <w:szCs w:val="24"/>
                <w:lang w:val="pl-PL" w:eastAsia="en-US" w:bidi="ar-SA"/>
              </w:rPr>
              <w:t>Sposób pomiaru</w:t>
            </w:r>
            <w:r>
              <w:rPr>
                <w:rFonts w:eastAsia="Calibri" w:cs="Times New Roman" w:ascii="Arial Narrow" w:hAnsi="Arial Narrow"/>
                <w:bCs/>
                <w:kern w:val="0"/>
                <w:sz w:val="24"/>
                <w:szCs w:val="24"/>
                <w:lang w:val="pl-PL" w:eastAsia="en-US" w:bidi="ar-SA"/>
              </w:rPr>
              <w:t>: w momencie rozpoczęcia udziału w projekcie przez uczestnika lub w momencie przystąpienia do określonej formy wparcia.</w:t>
            </w:r>
          </w:p>
          <w:p>
            <w:pPr>
              <w:pStyle w:val="NoSpacing"/>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Pr>
                <w:rFonts w:cs="Times New Roman" w:ascii="Arial Narrow" w:hAnsi="Arial Narrow"/>
                <w:bCs/>
                <w:sz w:val="24"/>
                <w:szCs w:val="24"/>
              </w:rPr>
            </w:r>
          </w:p>
          <w:p>
            <w:pPr>
              <w:pStyle w:val="NoSpacing"/>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Pr>
                <w:rFonts w:cs="Times New Roman" w:ascii="Arial Narrow" w:hAnsi="Arial Narrow"/>
                <w:bCs/>
                <w:sz w:val="24"/>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
                <w:bCs/>
                <w:kern w:val="0"/>
                <w:sz w:val="22"/>
                <w:szCs w:val="24"/>
                <w:lang w:val="pl-PL" w:eastAsia="en-US" w:bidi="ar-SA"/>
              </w:rPr>
              <w:t>Źródło pomiaru:</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kern w:val="0"/>
                <w:sz w:val="22"/>
                <w:szCs w:val="24"/>
                <w:lang w:val="pl-PL" w:eastAsia="en-US" w:bidi="ar-SA"/>
              </w:rPr>
              <w:t>Formularz rekrutacyjny uczestnika do projektu, Listy obecności potwierdzające udział        w oferowanym wsparciu</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eastAsia="Calibri" w:cs="Times New Roman"/>
                <w:bCs/>
                <w:szCs w:val="24"/>
              </w:rPr>
            </w:pPr>
            <w:r>
              <w:rPr>
                <w:rFonts w:eastAsia="Calibri" w:cs="Times New Roman"/>
                <w:bCs/>
                <w:sz w:val="22"/>
                <w:szCs w:val="24"/>
              </w:rPr>
            </w:r>
          </w:p>
          <w:p>
            <w:pPr>
              <w:pStyle w:val="NoSpacing"/>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Pr>
                <w:rFonts w:eastAsia="Calibri" w:cs="Times New Roman" w:ascii="Arial Narrow" w:hAnsi="Arial Narrow"/>
                <w:b/>
                <w:bCs/>
                <w:kern w:val="0"/>
                <w:sz w:val="24"/>
                <w:szCs w:val="24"/>
                <w:lang w:val="pl-PL" w:eastAsia="en-US" w:bidi="ar-SA"/>
              </w:rPr>
              <w:t>Sposób pomiaru</w:t>
            </w:r>
            <w:r>
              <w:rPr>
                <w:rFonts w:eastAsia="Calibri" w:cs="Times New Roman" w:ascii="Arial Narrow" w:hAnsi="Arial Narrow"/>
                <w:bCs/>
                <w:kern w:val="0"/>
                <w:sz w:val="24"/>
                <w:szCs w:val="24"/>
                <w:lang w:val="pl-PL" w:eastAsia="en-US" w:bidi="ar-SA"/>
              </w:rPr>
              <w:t>: w momencie rozpoczęcia udziału w projekcie przez uczestnika lub w momencie przystąpienia do określonej formy wparcia.</w:t>
            </w:r>
          </w:p>
          <w:p>
            <w:pPr>
              <w:pStyle w:val="NoSpacing"/>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Times New Roman"/>
                <w:bCs/>
                <w:sz w:val="24"/>
                <w:szCs w:val="24"/>
              </w:rPr>
            </w:pPr>
            <w:r>
              <w:rPr>
                <w:rFonts w:cs="Times New Roman" w:ascii="Arial Narrow" w:hAnsi="Arial Narrow"/>
                <w:bCs/>
                <w:sz w:val="24"/>
                <w:szCs w:val="24"/>
              </w:rPr>
            </w:r>
          </w:p>
        </w:tc>
        <w:tc>
          <w:tcPr>
            <w:tcW w:w="2260" w:type="dxa"/>
            <w:tcBorders/>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 xml:space="preserve">Zadanie nr 1 ( realizacja grantu w gminie wiejskiej Żary </w:t>
            </w:r>
            <w:r>
              <w:rPr>
                <w:rFonts w:eastAsia="Calibri" w:cs="Times New Roman"/>
                <w:b/>
                <w:sz w:val="22"/>
              </w:rPr>
              <w:t>) 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2 ( realizacja grantu w gminie Przewóz )</w:t>
            </w:r>
          </w:p>
          <w:p>
            <w:pPr>
              <w:pStyle w:val="Normal"/>
              <w:widowControl w:val="false"/>
              <w:spacing w:lineRule="auto" w:line="240" w:before="0" w:after="0"/>
              <w:jc w:val="left"/>
              <w:rPr>
                <w:rFonts w:cs="Times New Roman"/>
                <w:b/>
                <w:b/>
                <w:szCs w:val="24"/>
              </w:rPr>
            </w:pPr>
            <w:r>
              <w:rPr>
                <w:rFonts w:eastAsia="Calibri" w:cs="Times New Roman"/>
                <w:b/>
                <w:sz w:val="22"/>
              </w:rPr>
              <w:t>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3 ( realizacja grantu w gminie Iłowa)</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t>Min 6 osób objętych wsparciem</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 xml:space="preserve">Zadanie nr 4 ( realizacja grantu w gminie Małomice </w:t>
            </w:r>
            <w:r>
              <w:rPr>
                <w:rFonts w:eastAsia="Calibri" w:cs="Times New Roman"/>
                <w:b/>
                <w:sz w:val="22"/>
              </w:rPr>
              <w:t>) 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5 ( realizacja grantu w gminie Wymiarki  )</w:t>
            </w:r>
          </w:p>
          <w:p>
            <w:pPr>
              <w:pStyle w:val="Normal"/>
              <w:widowControl w:val="false"/>
              <w:spacing w:lineRule="auto" w:line="240" w:before="0" w:after="0"/>
              <w:jc w:val="left"/>
              <w:rPr>
                <w:rFonts w:cs="Times New Roman"/>
                <w:b/>
                <w:b/>
                <w:szCs w:val="24"/>
              </w:rPr>
            </w:pPr>
            <w:r>
              <w:rPr>
                <w:rFonts w:eastAsia="Calibri" w:cs="Times New Roman"/>
                <w:b/>
                <w:sz w:val="22"/>
              </w:rPr>
              <w:t>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6 ( realizacja grantu w gminie Gozdnica )</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t>Min 6 osób objętych wsparciem</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7 ( realizacja grantu w gminie wiejskiej Żagań  )</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t>Min 9 osób objętych wsparciem</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 xml:space="preserve">Zadanie nr 1 ( realizacja grantu w gminie wiejskiej Żary </w:t>
            </w:r>
            <w:r>
              <w:rPr>
                <w:rFonts w:eastAsia="Calibri" w:cs="Times New Roman"/>
                <w:b/>
                <w:sz w:val="22"/>
              </w:rPr>
              <w:t>) 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2 ( realizacja grantu w gminie Przewóz )</w:t>
            </w:r>
          </w:p>
          <w:p>
            <w:pPr>
              <w:pStyle w:val="Normal"/>
              <w:widowControl w:val="false"/>
              <w:spacing w:lineRule="auto" w:line="240" w:before="0" w:after="0"/>
              <w:jc w:val="left"/>
              <w:rPr>
                <w:rFonts w:cs="Times New Roman"/>
                <w:b/>
                <w:b/>
                <w:szCs w:val="24"/>
              </w:rPr>
            </w:pPr>
            <w:r>
              <w:rPr>
                <w:rFonts w:eastAsia="Calibri" w:cs="Times New Roman"/>
                <w:b/>
                <w:sz w:val="22"/>
              </w:rPr>
              <w:t>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3 ( realizacja grantu w gminie Iłowa)</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Min 6 osób objętych wsparciem</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 xml:space="preserve">Zadanie nr 4 ( realizacja grantu w gminie Małomice </w:t>
            </w:r>
            <w:r>
              <w:rPr>
                <w:rFonts w:eastAsia="Calibri" w:cs="Times New Roman"/>
                <w:b/>
                <w:sz w:val="22"/>
              </w:rPr>
              <w:t>) 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5 ( realizacja grantu w gminie Wymiarki  )</w:t>
            </w:r>
          </w:p>
          <w:p>
            <w:pPr>
              <w:pStyle w:val="Normal"/>
              <w:widowControl w:val="false"/>
              <w:spacing w:lineRule="auto" w:line="240" w:before="0" w:after="0"/>
              <w:jc w:val="left"/>
              <w:rPr>
                <w:rFonts w:cs="Times New Roman"/>
                <w:b/>
                <w:b/>
                <w:szCs w:val="24"/>
              </w:rPr>
            </w:pPr>
            <w:r>
              <w:rPr>
                <w:rFonts w:eastAsia="Calibri" w:cs="Times New Roman"/>
                <w:b/>
                <w:sz w:val="22"/>
              </w:rPr>
              <w:t>Min 6 osób objętych wsparciem</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6 ( realizacja grantu w gminie Gozdnica )</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t>Min 6 osób objętych wsparciem</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7 ( realizacja grantu w gminie wiejskiej Żagań  )</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t>Min 9 osób objętych wsparciem</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tc>
      </w:tr>
      <w:tr>
        <w:trPr/>
        <w:tc>
          <w:tcPr>
            <w:tcW w:w="14600" w:type="dxa"/>
            <w:gridSpan w:val="4"/>
            <w:cnfStyle w:val="001000000000" w:firstRow="0" w:lastRow="0" w:firstColumn="1" w:lastColumn="0" w:oddVBand="0" w:evenVBand="0" w:oddHBand="0" w:evenHBand="0" w:firstRowFirstColumn="0" w:firstRowLastColumn="0" w:lastRowFirstColumn="0" w:lastRowLastColumn="0"/>
            <w:tcBorders/>
            <w:shd w:color="auto" w:fill="D9D9D9" w:themeFill="background1" w:themeFillShade="d9" w:val="clear"/>
          </w:tcPr>
          <w:p>
            <w:pPr>
              <w:pStyle w:val="Normal"/>
              <w:widowControl w:val="false"/>
              <w:suppressAutoHyphens w:val="true"/>
              <w:spacing w:lineRule="auto" w:line="240" w:before="0" w:after="0"/>
              <w:jc w:val="center"/>
              <w:rPr>
                <w:rFonts w:cs="Times New Roman"/>
                <w:szCs w:val="24"/>
              </w:rPr>
            </w:pPr>
            <w:r>
              <w:rPr>
                <w:rFonts w:eastAsia="Times New Roman" w:cs="Times New Roman"/>
                <w:b/>
                <w:bCs/>
                <w:kern w:val="0"/>
                <w:sz w:val="22"/>
                <w:szCs w:val="24"/>
                <w:lang w:val="pl-PL" w:bidi="ar-SA"/>
              </w:rPr>
              <w:t>WSKAŹNIKI REZULTATU</w:t>
            </w:r>
          </w:p>
        </w:tc>
      </w:tr>
      <w:tr>
        <w:trPr/>
        <w:tc>
          <w:tcPr>
            <w:tcW w:w="1848"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uppressAutoHyphens w:val="true"/>
              <w:spacing w:lineRule="auto" w:line="240" w:before="0" w:after="0"/>
              <w:jc w:val="center"/>
              <w:rPr>
                <w:szCs w:val="24"/>
              </w:rPr>
            </w:pPr>
            <w:r>
              <w:rPr>
                <w:rFonts w:eastAsia="Times New Roman" w:cs="Calibri"/>
                <w:b/>
                <w:bCs/>
                <w:kern w:val="0"/>
                <w:sz w:val="22"/>
                <w:szCs w:val="24"/>
                <w:lang w:val="pl-PL" w:bidi="ar-SA"/>
              </w:rPr>
              <w:t>Liczba osób, które uzyskały kwalifikacje po opuszczeniu programu</w:t>
            </w:r>
          </w:p>
        </w:tc>
        <w:tc>
          <w:tcPr>
            <w:tcW w:w="7946" w:type="dxa"/>
            <w:tcBorders/>
          </w:tcPr>
          <w:p>
            <w:pPr>
              <w:pStyle w:val="NoSpacing"/>
              <w:widowControl w:val="false"/>
              <w:suppressAutoHyphens w:val="true"/>
              <w:spacing w:lineRule="auto" w:line="276"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eastAsia="Times New Roman"/>
                <w:sz w:val="24"/>
                <w:szCs w:val="24"/>
                <w:lang w:eastAsia="pl-PL"/>
              </w:rPr>
            </w:pPr>
            <w:r>
              <w:rPr>
                <w:rFonts w:eastAsia="Times New Roman" w:cs="" w:ascii="Arial Narrow" w:hAnsi="Arial Narrow"/>
                <w:kern w:val="0"/>
                <w:sz w:val="24"/>
                <w:szCs w:val="24"/>
                <w:lang w:val="pl-PL" w:eastAsia="pl-PL" w:bidi="ar-SA"/>
              </w:rPr>
              <w:t>Zgodnie z Listą Wskaźników Kluczowych 2021-2027 – EFS+ do wskaźnika wlicza się osoby, które otrzymały wsparcie EFS+ i uzyskały kwalifikacje po opuszczeniu projektu.</w:t>
            </w:r>
          </w:p>
          <w:p>
            <w:pPr>
              <w:pStyle w:val="Normal"/>
              <w:widowControl w:val="false"/>
              <w:suppressAutoHyphens w:val="true"/>
              <w:spacing w:lineRule="auto" w:line="259" w:before="120" w:after="12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Kwalifikacje to określony zestaw efektów uczenia się w zakresie wiedzy, umiejętności oraz kompetencji społecznych nabytych w drodze edukacji formalnej, edukacji pozaformalnej lub poprzez uczenie się nieformalne, zgodnych z ustalonymi dla danej kwalifikacji wymaganiami, których osiągnięcie zostało sprawdzone w walidacji oraz formalnie potwierdzone przez instytucję uprawnioną do certyfikowania</w:t>
            </w:r>
          </w:p>
          <w:p>
            <w:pPr>
              <w:pStyle w:val="Normal"/>
              <w:widowControl w:val="false"/>
              <w:suppressAutoHyphens w:val="true"/>
              <w:spacing w:lineRule="auto" w:line="259" w:before="120" w:after="12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Kwalifikacje mogą być nadawane przez:</w:t>
            </w:r>
          </w:p>
          <w:p>
            <w:pPr>
              <w:pStyle w:val="Normal"/>
              <w:widowControl w:val="false"/>
              <w:numPr>
                <w:ilvl w:val="0"/>
                <w:numId w:val="11"/>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podmioty uprawnione do realizacji procesów walidacji i certyfikowania zgodnie z ustawą z dnia 22 grudnia 2015 r. o Zintegrowanym Systemie Kwalifikacji,</w:t>
            </w:r>
          </w:p>
          <w:p>
            <w:pPr>
              <w:pStyle w:val="Normal"/>
              <w:widowControl w:val="false"/>
              <w:numPr>
                <w:ilvl w:val="0"/>
                <w:numId w:val="11"/>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podmioty uprawnione do realizacji procesów walidacji i certyfikowania na mocy innych przepisów prawa,</w:t>
            </w:r>
          </w:p>
          <w:p>
            <w:pPr>
              <w:pStyle w:val="Normal"/>
              <w:widowControl w:val="false"/>
              <w:numPr>
                <w:ilvl w:val="0"/>
                <w:numId w:val="11"/>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podmioty uprawnione do wydawania dokumentów potwierdzających uzyskanie kwalifikacji, w tym w zawodzie,</w:t>
            </w:r>
          </w:p>
          <w:p>
            <w:pPr>
              <w:pStyle w:val="Normal"/>
              <w:widowControl w:val="false"/>
              <w:numPr>
                <w:ilvl w:val="0"/>
                <w:numId w:val="11"/>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organy władz publicznych lub samorządów zawodowych, uprawnione do wydawania dokumentów potwierdzających kwalifikację na podstawie ustawy lub rozporządzenia.</w:t>
            </w:r>
          </w:p>
          <w:p>
            <w:pPr>
              <w:pStyle w:val="Normal"/>
              <w:widowControl w:val="false"/>
              <w:suppressAutoHyphens w:val="true"/>
              <w:spacing w:lineRule="auto" w:line="259" w:before="120" w:after="12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pPr>
              <w:pStyle w:val="Normal"/>
              <w:widowControl w:val="false"/>
              <w:suppressAutoHyphens w:val="true"/>
              <w:spacing w:lineRule="auto" w:line="259" w:before="120" w:after="12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w:t>
            </w:r>
          </w:p>
          <w:p>
            <w:pPr>
              <w:pStyle w:val="Normal"/>
              <w:widowControl w:val="false"/>
              <w:suppressAutoHyphens w:val="true"/>
              <w:spacing w:lineRule="auto" w:line="259" w:before="120" w:after="12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Fakt nabycia kompetencji jest weryfikowany w ramach następujących etapów:</w:t>
            </w:r>
          </w:p>
          <w:p>
            <w:pPr>
              <w:pStyle w:val="Normal"/>
              <w:widowControl w:val="false"/>
              <w:numPr>
                <w:ilvl w:val="0"/>
                <w:numId w:val="12"/>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ETAP I – Zakres – zdefiniowanie w ramach wniosku o dofinansowanie (w przypadku projektów) lub usługi (w przypadku Podmiotowego Systemu Finansowania) grupy docelowej do objęcia wsparciem oraz zakresu tematycznego wsparcia, który będzie poddany ocenie,</w:t>
            </w:r>
          </w:p>
          <w:p>
            <w:pPr>
              <w:pStyle w:val="Normal"/>
              <w:widowControl w:val="false"/>
              <w:numPr>
                <w:ilvl w:val="0"/>
                <w:numId w:val="12"/>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ETAP II – Wzorzec – określony przed rozpoczęciem form wsparcia i zrealizowany w projekcie/usłudze standard wymagań, tj. efektów uczenia się, które osiągną uczestnicy w wyniku przeprowadzonych działań (wraz z informacjami o kryteriach i metodach weryfikacji tych efektów). Sposób (miejsce) definiowania informacji wymaganych w etapie II powinien zostać określony przez instytucję organizującą konkurs/przeprowadzającą nabór projektów,</w:t>
            </w:r>
          </w:p>
          <w:p>
            <w:pPr>
              <w:pStyle w:val="Normal"/>
              <w:widowControl w:val="false"/>
              <w:numPr>
                <w:ilvl w:val="0"/>
                <w:numId w:val="12"/>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w:t>
            </w:r>
          </w:p>
          <w:p>
            <w:pPr>
              <w:pStyle w:val="Normal"/>
              <w:widowControl w:val="false"/>
              <w:numPr>
                <w:ilvl w:val="0"/>
                <w:numId w:val="12"/>
              </w:numPr>
              <w:suppressAutoHyphens w:val="false"/>
              <w:spacing w:lineRule="auto" w:line="259" w:before="120" w:after="120"/>
              <w:contextualSpacing/>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ETAP IV – Porównanie – porównanie uzyskanych wyników etapu III (ocena) z przyjętymi wymaganiami (określonymi na etapie II efektami uczenia się) po zakończeniu wsparcia udzielanego danej osobie. Nabycie kompetencji potwierdzone jest uzyskaniem dokumentu zawierającego wyszczególnione efekty uczenia się odnoszące się do nabytej kompetencji.</w:t>
            </w:r>
          </w:p>
          <w:p>
            <w:pPr>
              <w:pStyle w:val="Normal"/>
              <w:widowControl w:val="false"/>
              <w:suppressAutoHyphens w:val="true"/>
              <w:spacing w:lineRule="auto" w:line="259" w:before="0" w:after="16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Przez efekty uczenia się należy rozumieć wiedzę, umiejętności oraz kompetencje społeczne nabyte w edukacji formalnej, edukacji pozaformalnej lub poprzez uczenie się nieformalne, zgodne z ustalonymi dla danej kwalifikacji lub kompetencji wymaganiami.</w:t>
            </w:r>
          </w:p>
          <w:p>
            <w:pPr>
              <w:pStyle w:val="Normal"/>
              <w:widowControl w:val="false"/>
              <w:suppressAutoHyphens w:val="true"/>
              <w:spacing w:lineRule="auto" w:line="259" w:before="0" w:after="16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Wykazywać należy wyłącznie kwalifikacje lub kompetencje osiągnięte w wyniku udziału w projekcie EFS+. Powinny one być wykazywane tylko raz dla uczestnika/projektu.</w:t>
            </w:r>
          </w:p>
          <w:p>
            <w:pPr>
              <w:pStyle w:val="Normal"/>
              <w:widowControl w:val="false"/>
              <w:suppressAutoHyphens w:val="true"/>
              <w:spacing w:lineRule="auto" w:line="259" w:before="0" w:after="16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Do wskaźnika należy wliczać jedynie osoby, które uzyskały kwalifikacje /kompetencje w trakcie lub bezpośrednio po zakończeniu udziału w projekcie, tj. w ciągu czterech tygodni, które minęły od momentu zakończenia udziału w projekcie.</w:t>
            </w:r>
          </w:p>
          <w:p>
            <w:pPr>
              <w:pStyle w:val="Normal"/>
              <w:widowControl w:val="false"/>
              <w:suppressAutoHyphens w:val="true"/>
              <w:spacing w:lineRule="auto" w:line="259" w:before="0" w:after="160"/>
              <w:jc w:val="left"/>
              <w:cnfStyle w:val="000000000000" w:firstRow="0" w:lastRow="0" w:firstColumn="0" w:lastColumn="0" w:oddVBand="0" w:evenVBand="0" w:oddHBand="0" w:evenHBand="0" w:firstRowFirstColumn="0" w:firstRowLastColumn="0" w:lastRowFirstColumn="0" w:lastRowLastColumn="0"/>
              <w:rPr>
                <w:rFonts w:eastAsia="Times New Roman"/>
                <w:szCs w:val="24"/>
              </w:rPr>
            </w:pPr>
            <w:r>
              <w:rPr>
                <w:rFonts w:eastAsia="Times New Roman" w:cs=""/>
                <w:kern w:val="0"/>
                <w:sz w:val="22"/>
                <w:szCs w:val="24"/>
                <w:lang w:val="pl-PL" w:bidi="ar-SA"/>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pPr>
              <w:pStyle w:val="Normal"/>
              <w:widowControl w:val="false"/>
              <w:suppressAutoHyphens w:val="true"/>
              <w:spacing w:lineRule="auto" w:line="259" w:before="0" w:after="160"/>
              <w:jc w:val="left"/>
              <w:cnfStyle w:val="000000000000" w:firstRow="0" w:lastRow="0" w:firstColumn="0" w:lastColumn="0" w:oddVBand="0" w:evenVBand="0" w:oddHBand="0" w:evenHBand="0" w:firstRowFirstColumn="0" w:firstRowLastColumn="0" w:lastRowFirstColumn="0" w:lastRowLastColumn="0"/>
              <w:rPr>
                <w:rFonts w:cs="Times New Roman"/>
                <w:szCs w:val="24"/>
              </w:rPr>
            </w:pPr>
            <w:r>
              <w:rPr>
                <w:rFonts w:eastAsia="Times New Roman"/>
                <w:kern w:val="0"/>
                <w:sz w:val="22"/>
                <w:szCs w:val="24"/>
                <w:lang w:val="pl-PL" w:bidi="ar-SA"/>
              </w:rPr>
              <w:t>Dodatkowe informacje na temat monitorowania uzyskiwania kwalifikacji i kompetencji w ramach projektów współfinansowanych z EFS+ zawarte są w załączniku nr 2 do Wytycznych w zakresie monitorowania postępu rzeczowego realizacji programów operacyjnych na lata 2021-2027</w:t>
            </w:r>
            <w:r>
              <w:rPr>
                <w:rFonts w:eastAsia="Calibri"/>
                <w:kern w:val="0"/>
                <w:sz w:val="22"/>
                <w:szCs w:val="24"/>
                <w:lang w:val="pl-PL" w:bidi="ar-SA"/>
              </w:rPr>
              <w:t>.</w:t>
            </w:r>
          </w:p>
        </w:tc>
        <w:tc>
          <w:tcPr>
            <w:tcW w:w="2546" w:type="dxa"/>
            <w:tcBorders/>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Cs/>
                <w:szCs w:val="24"/>
              </w:rPr>
            </w:pPr>
            <w:r>
              <w:rPr>
                <w:rFonts w:eastAsia="Calibri" w:cs="Times New Roman"/>
                <w:b/>
                <w:bCs/>
                <w:kern w:val="0"/>
                <w:sz w:val="22"/>
                <w:szCs w:val="24"/>
                <w:lang w:val="pl-PL" w:bidi="ar-SA"/>
              </w:rPr>
              <w:t xml:space="preserve">Źródło pomiaru: </w:t>
            </w:r>
            <w:r>
              <w:rPr>
                <w:rFonts w:eastAsia="Calibri" w:cs="Times New Roman"/>
                <w:bCs/>
                <w:kern w:val="0"/>
                <w:sz w:val="22"/>
                <w:szCs w:val="24"/>
                <w:lang w:val="pl-PL" w:bidi="ar-SA"/>
              </w:rPr>
              <w:t>dokumenty potwierdzające pozyskanie wiedzy/kompetencji np. dyplom, certyfikat, zaświadczenie, oświadczenie trenera/ doradcy.</w:t>
            </w:r>
          </w:p>
          <w:p>
            <w:pPr>
              <w:pStyle w:val="NoSpacing"/>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Times New Roman"/>
                <w:sz w:val="24"/>
                <w:szCs w:val="24"/>
              </w:rPr>
            </w:pPr>
            <w:r>
              <w:rPr>
                <w:rFonts w:eastAsia="Calibri" w:cs="Times New Roman" w:ascii="Arial Narrow" w:hAnsi="Arial Narrow"/>
                <w:b/>
                <w:bCs/>
                <w:kern w:val="0"/>
                <w:sz w:val="24"/>
                <w:szCs w:val="24"/>
                <w:lang w:val="pl-PL" w:eastAsia="en-US" w:bidi="ar-SA"/>
              </w:rPr>
              <w:t>Sposób pomiaru:</w:t>
            </w:r>
            <w:r>
              <w:rPr>
                <w:rFonts w:eastAsia="Calibri" w:cs="Times New Roman" w:ascii="Arial Narrow" w:hAnsi="Arial Narrow"/>
                <w:bCs/>
                <w:kern w:val="0"/>
                <w:sz w:val="24"/>
                <w:szCs w:val="24"/>
                <w:lang w:val="pl-PL" w:eastAsia="en-US" w:bidi="ar-SA"/>
              </w:rPr>
              <w:t xml:space="preserve"> do 4 tygodni następujących po zakończeniu udziału uczestnika w projekcie objętym grantem.</w:t>
            </w:r>
          </w:p>
        </w:tc>
        <w:tc>
          <w:tcPr>
            <w:tcW w:w="2260" w:type="dxa"/>
            <w:tcBorders/>
          </w:tcPr>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 xml:space="preserve">Zadanie nr 1 ( realizacja grantu w gminie wiejskiej Żary </w:t>
            </w:r>
            <w:r>
              <w:rPr>
                <w:rFonts w:eastAsia="Calibri" w:cs="Times New Roman"/>
                <w:b/>
                <w:sz w:val="22"/>
              </w:rPr>
              <w:t>) Min. 65% osób objętych wsparciem tj. min. 4 osoby</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2 ( realizacja grantu w gminie Przewóz )</w:t>
            </w:r>
          </w:p>
          <w:p>
            <w:pPr>
              <w:pStyle w:val="Normal"/>
              <w:widowControl w:val="false"/>
              <w:spacing w:lineRule="auto" w:line="240" w:before="0" w:after="0"/>
              <w:jc w:val="left"/>
              <w:rPr>
                <w:rFonts w:cs="Times New Roman"/>
                <w:b/>
                <w:b/>
                <w:szCs w:val="24"/>
              </w:rPr>
            </w:pPr>
            <w:r>
              <w:rPr>
                <w:rFonts w:eastAsia="Calibri" w:cs="Times New Roman"/>
                <w:b/>
                <w:sz w:val="22"/>
              </w:rPr>
              <w:t>Min 65% osób objętych wsparciem tj. min. 4 osoby</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3 ( realizacja grantu w gminie Iłowa)</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Min 65% osób objętych wsparciem tj. min. 4 osoby</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kern w:val="0"/>
                <w:sz w:val="22"/>
                <w:szCs w:val="24"/>
                <w:lang w:val="pl-PL" w:bidi="ar-SA"/>
              </w:rPr>
              <w:t xml:space="preserve">Zadanie nr 4 ( realizacja grantu w gminie Małomice </w:t>
            </w:r>
            <w:r>
              <w:rPr>
                <w:rFonts w:eastAsia="Calibri" w:cs="Times New Roman"/>
                <w:b/>
                <w:sz w:val="22"/>
              </w:rPr>
              <w:t>) Min. 65% osób objętych wsparciem tj. min. 4 osoby</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5 ( realizacja grantu w gminie Wymiarki  )</w:t>
            </w:r>
          </w:p>
          <w:p>
            <w:pPr>
              <w:pStyle w:val="Normal"/>
              <w:widowControl w:val="false"/>
              <w:spacing w:lineRule="auto" w:line="240" w:before="0" w:after="0"/>
              <w:jc w:val="left"/>
              <w:rPr>
                <w:rFonts w:cs="Times New Roman"/>
                <w:b/>
                <w:b/>
                <w:szCs w:val="24"/>
              </w:rPr>
            </w:pPr>
            <w:r>
              <w:rPr>
                <w:rFonts w:eastAsia="Calibri" w:cs="Times New Roman"/>
                <w:b/>
                <w:sz w:val="22"/>
              </w:rPr>
              <w:t>Min 65% osób objętych wsparciem tj. min. 4 osoby</w:t>
            </w:r>
          </w:p>
          <w:p>
            <w:pPr>
              <w:pStyle w:val="Normal"/>
              <w:widowControl w:val="false"/>
              <w:spacing w:lineRule="auto" w:line="240" w:before="0" w:after="0"/>
              <w:jc w:val="left"/>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6 ( realizacja grantu w gminie Gozdnica )</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t>Min 65% osób objętych wsparciem tj. min. 4 osoby</w:t>
            </w:r>
          </w:p>
          <w:p>
            <w:pPr>
              <w:pStyle w:val="Normal"/>
              <w:widowControl w:val="false"/>
              <w:suppressAutoHyphens w:val="true"/>
              <w:spacing w:lineRule="auto" w:line="240" w:before="0" w:after="0"/>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cs="Times New Roman"/>
                <w:b/>
                <w:sz w:val="22"/>
                <w:szCs w:val="24"/>
              </w:rPr>
            </w:r>
          </w:p>
          <w:p>
            <w:pPr>
              <w:pStyle w:val="Normal"/>
              <w:widowControl w:val="false"/>
              <w:spacing w:lineRule="auto" w:line="240" w:before="0" w:after="0"/>
              <w:jc w:val="left"/>
              <w:rPr>
                <w:rFonts w:cs="Times New Roman"/>
                <w:b/>
                <w:b/>
                <w:szCs w:val="24"/>
              </w:rPr>
            </w:pPr>
            <w:r>
              <w:rPr>
                <w:rFonts w:eastAsia="Calibri" w:cs="Times New Roman"/>
                <w:b/>
                <w:sz w:val="22"/>
              </w:rPr>
              <w:t>Zadnie nr  7 ( realizacja grantu w gminie wiejskiej Żagań  )</w:t>
            </w:r>
          </w:p>
          <w:p>
            <w:pPr>
              <w:pStyle w:val="Normal"/>
              <w:widowControl w:val="false"/>
              <w:suppressAutoHyphens w:val="true"/>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cs="Times New Roman"/>
                <w:b/>
                <w:b/>
                <w:szCs w:val="24"/>
              </w:rPr>
            </w:pPr>
            <w:r>
              <w:rPr>
                <w:rFonts w:eastAsia="Calibri" w:cs="Times New Roman"/>
                <w:b/>
                <w:sz w:val="24"/>
                <w:szCs w:val="24"/>
              </w:rPr>
              <w:t>Min 65% osób objętych wsparciem tj. min. 6 osób</w:t>
            </w:r>
          </w:p>
          <w:p>
            <w:pPr>
              <w:pStyle w:val="Normal"/>
              <w:widowControl w:val="false"/>
              <w:spacing w:lineRule="auto" w:line="240" w:before="0" w:after="0"/>
              <w:jc w:val="left"/>
              <w:rPr>
                <w:rFonts w:ascii="Arial Narrow" w:hAnsi="Arial Narrow" w:cs="Times New Roman"/>
                <w:b/>
                <w:b/>
                <w:sz w:val="24"/>
                <w:szCs w:val="24"/>
              </w:rPr>
            </w:pPr>
            <w:r>
              <w:rPr>
                <w:rFonts w:cs="Times New Roman"/>
                <w:b/>
                <w:sz w:val="22"/>
                <w:szCs w:val="24"/>
              </w:rPr>
            </w:r>
          </w:p>
          <w:p>
            <w:pPr>
              <w:pStyle w:val="Normal"/>
              <w:widowControl w:val="false"/>
              <w:spacing w:lineRule="auto" w:line="240" w:before="0" w:after="0"/>
              <w:jc w:val="left"/>
              <w:rPr>
                <w:rFonts w:ascii="Arial Narrow" w:hAnsi="Arial Narrow" w:cs="Times New Roman"/>
                <w:b/>
                <w:b/>
                <w:sz w:val="24"/>
                <w:szCs w:val="24"/>
              </w:rPr>
            </w:pPr>
            <w:r>
              <w:rPr>
                <w:rFonts w:cs="Times New Roman"/>
                <w:b/>
                <w:sz w:val="22"/>
                <w:szCs w:val="24"/>
              </w:rPr>
            </w:r>
          </w:p>
          <w:p>
            <w:pPr>
              <w:pStyle w:val="Normal"/>
              <w:widowControl w:val="false"/>
              <w:spacing w:lineRule="auto" w:line="240" w:before="0" w:after="0"/>
              <w:jc w:val="left"/>
              <w:rPr>
                <w:rFonts w:ascii="Arial Narrow" w:hAnsi="Arial Narrow" w:cs="Times New Roman"/>
                <w:b/>
                <w:b/>
                <w:sz w:val="24"/>
                <w:szCs w:val="24"/>
              </w:rPr>
            </w:pPr>
            <w:r>
              <w:rPr>
                <w:rFonts w:cs="Times New Roman"/>
                <w:b/>
                <w:sz w:val="22"/>
                <w:szCs w:val="24"/>
              </w:rPr>
            </w:r>
          </w:p>
        </w:tc>
      </w:tr>
    </w:tbl>
    <w:p>
      <w:pPr>
        <w:pStyle w:val="Normal"/>
        <w:rPr/>
      </w:pPr>
      <w:r>
        <w:rPr/>
      </w:r>
    </w:p>
    <w:p>
      <w:pPr>
        <w:sectPr>
          <w:headerReference w:type="default" r:id="rId9"/>
          <w:headerReference w:type="first" r:id="rId10"/>
          <w:footerReference w:type="default" r:id="rId11"/>
          <w:footerReference w:type="first" r:id="rId12"/>
          <w:footnotePr>
            <w:numFmt w:val="decimal"/>
          </w:footnotePr>
          <w:type w:val="nextPage"/>
          <w:pgSz w:orient="landscape" w:w="16838" w:h="11906"/>
          <w:pgMar w:left="1418" w:right="1701" w:gutter="0" w:header="284" w:top="1418" w:footer="709" w:bottom="1418"/>
          <w:pgNumType w:fmt="decimal"/>
          <w:formProt w:val="false"/>
          <w:titlePg/>
          <w:textDirection w:val="lrTb"/>
          <w:docGrid w:type="default" w:linePitch="360" w:charSpace="0"/>
        </w:sectPr>
        <w:pStyle w:val="Normal"/>
        <w:jc w:val="left"/>
        <w:rPr>
          <w:rFonts w:cs="Times New Roman"/>
          <w:b/>
          <w:b/>
          <w:bCs/>
          <w:szCs w:val="24"/>
        </w:rPr>
      </w:pPr>
      <w:r>
        <w:rPr>
          <w:rFonts w:cs="Times New Roman"/>
          <w:b/>
          <w:bCs/>
          <w:szCs w:val="24"/>
        </w:rPr>
        <w:t xml:space="preserve">Grantobiorca zobowiązany jest do monitorowania wskaźników na etapie realizacji  projektu objętego grantem. Każdorazowo przy składaniu sprawozdania merytoryczno – finansowego, grantobiorca zobowiązany jest do wykazywania postępu w osiąganiu tych wskaźników.   </w:t>
      </w:r>
    </w:p>
    <w:p>
      <w:pPr>
        <w:pStyle w:val="Nagwek11"/>
        <w:jc w:val="left"/>
        <w:rPr>
          <w:strike/>
        </w:rPr>
      </w:pPr>
      <w:bookmarkStart w:id="30" w:name="_Toc163484309"/>
      <w:bookmarkStart w:id="31" w:name="_Toc162422621"/>
      <w:r>
        <w:rPr/>
        <w:t>Rozdział XII TERMIN, SPOSÓB I FORMA SKŁADANIA WNIOSKÓW</w:t>
      </w:r>
      <w:bookmarkEnd w:id="30"/>
      <w:bookmarkEnd w:id="31"/>
    </w:p>
    <w:p>
      <w:pPr>
        <w:pStyle w:val="ListParagraph"/>
        <w:numPr>
          <w:ilvl w:val="0"/>
          <w:numId w:val="4"/>
        </w:numPr>
        <w:jc w:val="left"/>
        <w:rPr>
          <w:rFonts w:cs="Times New Roman"/>
          <w:bCs/>
          <w:szCs w:val="24"/>
        </w:rPr>
      </w:pPr>
      <w:r>
        <w:rPr/>
        <w:t>Nabór wniosków jest prowadzony w terminie określonym w ogłoszeniu.</w:t>
      </w:r>
    </w:p>
    <w:p>
      <w:pPr>
        <w:pStyle w:val="ListParagraph"/>
        <w:jc w:val="left"/>
        <w:rPr>
          <w:rFonts w:cs="Times New Roman"/>
          <w:bCs/>
          <w:szCs w:val="24"/>
        </w:rPr>
      </w:pPr>
      <w:r>
        <w:rPr>
          <w:rFonts w:cs="Times New Roman"/>
          <w:bCs/>
          <w:szCs w:val="24"/>
        </w:rPr>
      </w:r>
    </w:p>
    <w:p>
      <w:pPr>
        <w:pStyle w:val="ListParagraph"/>
        <w:numPr>
          <w:ilvl w:val="0"/>
          <w:numId w:val="4"/>
        </w:numPr>
        <w:jc w:val="left"/>
        <w:rPr>
          <w:rFonts w:cs="Times New Roman"/>
          <w:bCs/>
          <w:szCs w:val="24"/>
        </w:rPr>
      </w:pPr>
      <w:r>
        <w:rPr/>
        <w:t xml:space="preserve">Grantodawca podaje do publicznej wiadomości, co najmniej na swojej stronie internetowej oraz na tablicy ogłoszeń w siedzibie Grantodawcy, ogłoszenie o naborze wniosków, nie później niż 14 dni przed dniem planowanego rozpoczęcia terminu składania tych wniosków. </w:t>
      </w:r>
    </w:p>
    <w:p>
      <w:pPr>
        <w:pStyle w:val="ListParagraph"/>
        <w:rPr>
          <w:rFonts w:cs="Times New Roman"/>
          <w:bCs/>
          <w:szCs w:val="24"/>
        </w:rPr>
      </w:pPr>
      <w:r>
        <w:rPr>
          <w:rFonts w:cs="Times New Roman"/>
          <w:bCs/>
          <w:szCs w:val="24"/>
        </w:rPr>
      </w:r>
    </w:p>
    <w:p>
      <w:pPr>
        <w:pStyle w:val="ListParagraph"/>
        <w:numPr>
          <w:ilvl w:val="0"/>
          <w:numId w:val="4"/>
        </w:numPr>
        <w:rPr>
          <w:rFonts w:cs="Times New Roman"/>
          <w:bCs/>
          <w:szCs w:val="24"/>
        </w:rPr>
      </w:pPr>
      <w:r>
        <w:rPr>
          <w:rFonts w:cs="Times New Roman"/>
          <w:bCs/>
          <w:szCs w:val="24"/>
        </w:rPr>
        <w:t>Grantod</w:t>
      </w:r>
      <w:r>
        <w:rPr>
          <w:rFonts w:cs="Times New Roman"/>
          <w:bCs/>
          <w:color w:val="000000"/>
          <w:szCs w:val="24"/>
        </w:rPr>
        <w:t xml:space="preserve">awca w miejscu upublicznienia informacji o prowadzonym naborze zamieszcza link do Generatora wniosków. </w:t>
      </w:r>
    </w:p>
    <w:p>
      <w:pPr>
        <w:pStyle w:val="ListParagraph"/>
        <w:jc w:val="left"/>
        <w:rPr>
          <w:rFonts w:cs="Times New Roman"/>
          <w:bCs/>
          <w:color w:val="000000"/>
          <w:szCs w:val="24"/>
        </w:rPr>
      </w:pPr>
      <w:r>
        <w:rPr>
          <w:rFonts w:cs="Times New Roman"/>
          <w:bCs/>
          <w:color w:val="000000"/>
          <w:szCs w:val="24"/>
        </w:rPr>
      </w:r>
    </w:p>
    <w:p>
      <w:pPr>
        <w:pStyle w:val="ListParagraph"/>
        <w:numPr>
          <w:ilvl w:val="0"/>
          <w:numId w:val="4"/>
        </w:numPr>
        <w:jc w:val="left"/>
        <w:rPr>
          <w:color w:val="000000"/>
        </w:rPr>
      </w:pPr>
      <w:r>
        <w:rPr>
          <w:color w:val="000000"/>
        </w:rPr>
        <w:t>Termin składania wniosków nie powinien być krótszy niż 14 dni i dłuższy niż 60 dni.</w:t>
      </w:r>
    </w:p>
    <w:p>
      <w:pPr>
        <w:pStyle w:val="Akapitzlist"/>
        <w:numPr>
          <w:ilvl w:val="0"/>
          <w:numId w:val="0"/>
        </w:numPr>
        <w:ind w:left="0" w:hanging="0"/>
        <w:jc w:val="left"/>
        <w:rPr>
          <w:color w:val="000000"/>
        </w:rPr>
      </w:pPr>
      <w:r>
        <w:rPr>
          <w:color w:val="000000"/>
        </w:rPr>
        <w:t xml:space="preserve">      </w:t>
      </w:r>
      <w:r>
        <w:rPr>
          <w:color w:val="000000"/>
        </w:rPr>
        <w:t>5.     Formularz wniosku o powierzenie grantu, stanowiący załącznik nr 1 do Procedury wyboru i oceny grantobiorców w ramach projektów grantowych wraz z opisem sposobu rozliczania grantów, monitorowania i kontroli, współfinansowanego w ramach Europejskiego Funduszu Społecznego Plus Fundusze Europejskie dla Lubuskiego 2021-2027)</w:t>
      </w:r>
      <w:r>
        <w:rPr>
          <w:color w:val="000000"/>
          <w:lang w:val="pl-PL"/>
        </w:rPr>
        <w:t xml:space="preserve"> </w:t>
      </w:r>
      <w:r>
        <w:rPr>
          <w:color w:val="000000"/>
        </w:rPr>
        <w:t>należy wypełnić w generatorze wniosków w systemie I</w:t>
      </w:r>
      <w:r>
        <w:rPr>
          <w:color w:val="000000"/>
          <w:lang w:val="pl-PL"/>
        </w:rPr>
        <w:t xml:space="preserve">T </w:t>
      </w:r>
      <w:r>
        <w:rPr>
          <w:color w:val="000000"/>
        </w:rPr>
        <w:t>LGD</w:t>
      </w:r>
      <w:r>
        <w:rPr>
          <w:color w:val="000000"/>
          <w:lang w:val="pl-PL"/>
        </w:rPr>
        <w:t>.</w:t>
      </w:r>
    </w:p>
    <w:p>
      <w:pPr>
        <w:pStyle w:val="ListParagraph"/>
        <w:numPr>
          <w:ilvl w:val="0"/>
          <w:numId w:val="0"/>
        </w:numPr>
        <w:ind w:left="0" w:hanging="0"/>
        <w:jc w:val="left"/>
        <w:rPr>
          <w:color w:val="000000"/>
        </w:rPr>
      </w:pPr>
      <w:r>
        <w:rPr>
          <w:color w:val="000000"/>
        </w:rPr>
        <w:t xml:space="preserve">      </w:t>
      </w:r>
      <w:r>
        <w:rPr>
          <w:color w:val="000000"/>
        </w:rPr>
        <w:t xml:space="preserve">6.  </w:t>
      </w:r>
      <w:r>
        <w:rPr>
          <w:bCs/>
          <w:color w:val="000000"/>
          <w:szCs w:val="24"/>
          <w:lang w:val="pl-PL"/>
        </w:rPr>
        <w:t xml:space="preserve"> </w:t>
      </w:r>
      <w:r>
        <w:rPr>
          <w:color w:val="000000"/>
        </w:rPr>
        <w:t>Wersję ostateczną kompletnie wypełnionego formularza wniosku o powierzenie grantu należy wydrukować i podpisać (pieczątka podmiotu oraz pieczątka/i imienna/e osoby/osób upoważnionej/ych).</w:t>
      </w:r>
    </w:p>
    <w:p>
      <w:pPr>
        <w:pStyle w:val="ListParagraph"/>
        <w:jc w:val="left"/>
        <w:rPr>
          <w:rFonts w:cs="Times New Roman"/>
          <w:bCs/>
          <w:color w:val="000000"/>
          <w:szCs w:val="24"/>
        </w:rPr>
      </w:pPr>
      <w:r>
        <w:rPr>
          <w:rFonts w:cs="Times New Roman"/>
          <w:bCs/>
          <w:color w:val="000000"/>
          <w:szCs w:val="24"/>
        </w:rPr>
      </w:r>
    </w:p>
    <w:p>
      <w:pPr>
        <w:pStyle w:val="ListParagraph"/>
        <w:numPr>
          <w:ilvl w:val="0"/>
          <w:numId w:val="0"/>
        </w:numPr>
        <w:ind w:left="0" w:hanging="0"/>
        <w:jc w:val="left"/>
        <w:rPr>
          <w:color w:val="000000"/>
        </w:rPr>
      </w:pPr>
      <w:r>
        <w:rPr>
          <w:color w:val="000000"/>
        </w:rPr>
        <w:t xml:space="preserve">     </w:t>
      </w:r>
      <w:r>
        <w:rPr>
          <w:color w:val="000000"/>
        </w:rPr>
        <w:t xml:space="preserve">7. </w:t>
      </w:r>
      <w:r>
        <w:rPr>
          <w:bCs/>
          <w:color w:val="000000"/>
          <w:szCs w:val="24"/>
          <w:lang w:val="pl-PL"/>
        </w:rPr>
        <w:t xml:space="preserve"> </w:t>
      </w:r>
      <w:r>
        <w:rPr>
          <w:color w:val="000000"/>
        </w:rPr>
        <w:t>Wniosek oraz załączniki należy złożyć w trwale spiętej formie, uniemożliwiający przypadkową dekompletację, np. w segregatorze lub skoroszycie wraz z wersją elektroniczną (płyta lub pendrive); wersja elektroniczna musi zawierać wniosek w wersji zgodnej z wersją papierową.</w:t>
      </w:r>
    </w:p>
    <w:p>
      <w:pPr>
        <w:pStyle w:val="ListParagraph"/>
        <w:jc w:val="left"/>
        <w:rPr>
          <w:rFonts w:cs="Times New Roman"/>
          <w:bCs/>
          <w:szCs w:val="24"/>
        </w:rPr>
      </w:pPr>
      <w:r>
        <w:rPr>
          <w:rFonts w:cs="Times New Roman"/>
          <w:bCs/>
          <w:szCs w:val="24"/>
        </w:rPr>
      </w:r>
    </w:p>
    <w:p>
      <w:pPr>
        <w:pStyle w:val="ListParagraph"/>
        <w:numPr>
          <w:ilvl w:val="0"/>
          <w:numId w:val="0"/>
        </w:numPr>
        <w:ind w:left="0" w:hanging="0"/>
        <w:jc w:val="left"/>
        <w:rPr>
          <w:rFonts w:cs="Times New Roman"/>
          <w:bCs/>
          <w:szCs w:val="24"/>
        </w:rPr>
      </w:pPr>
      <w:r>
        <w:rPr/>
        <w:t xml:space="preserve">    </w:t>
      </w:r>
      <w:r>
        <w:rPr/>
        <w:t>8   Wnioskodawca zobligowany jest dostarczyć wniosek w dwóch egzemplarzach (oryginał i kopia), Kopia po potwierdzeniu złożenia, zwracana jest Wnioskodawcy.</w:t>
      </w:r>
    </w:p>
    <w:p>
      <w:pPr>
        <w:pStyle w:val="ListParagraph"/>
        <w:jc w:val="left"/>
        <w:rPr>
          <w:rFonts w:cs="Times New Roman"/>
          <w:bCs/>
          <w:szCs w:val="24"/>
        </w:rPr>
      </w:pPr>
      <w:r>
        <w:rPr>
          <w:rFonts w:cs="Times New Roman"/>
          <w:bCs/>
          <w:szCs w:val="24"/>
        </w:rPr>
      </w:r>
    </w:p>
    <w:p>
      <w:pPr>
        <w:pStyle w:val="ListParagraph"/>
        <w:numPr>
          <w:ilvl w:val="0"/>
          <w:numId w:val="0"/>
        </w:numPr>
        <w:ind w:left="0" w:hanging="0"/>
        <w:jc w:val="left"/>
        <w:rPr>
          <w:rFonts w:cs="Times New Roman"/>
          <w:bCs/>
          <w:szCs w:val="24"/>
        </w:rPr>
      </w:pPr>
      <w:r>
        <w:rPr/>
        <w:t xml:space="preserve">    </w:t>
      </w:r>
      <w:r>
        <w:rPr/>
        <w:t xml:space="preserve">9. </w:t>
      </w:r>
      <w:r>
        <w:rPr>
          <w:lang w:val="pl-PL"/>
        </w:rPr>
        <w:t xml:space="preserve">  Wnioskodawca składa wniosek o powierzenie grantu bezpośrednio tj. osobiście</w:t>
      </w:r>
      <w:r>
        <w:rPr>
          <w:bCs/>
          <w:szCs w:val="24"/>
          <w:lang w:val="pl-PL"/>
        </w:rPr>
        <w:t xml:space="preserve"> </w:t>
      </w:r>
      <w:r>
        <w:rPr>
          <w:lang w:val="pl-PL"/>
        </w:rPr>
        <w:t xml:space="preserve">albo przez pełnomocnika albo przez osobę uprawnioną do reprezentacji </w:t>
      </w:r>
      <w:r>
        <w:rPr/>
        <w:t>w biurze Grantodawcy</w:t>
      </w:r>
      <w:r>
        <w:rPr>
          <w:lang w:val="pl-PL"/>
        </w:rPr>
        <w:t>. N</w:t>
      </w:r>
      <w:r>
        <w:rPr/>
        <w:t xml:space="preserve">ie dopuszcza się składania </w:t>
      </w:r>
      <w:r>
        <w:rPr>
          <w:lang w:val="pl-PL"/>
        </w:rPr>
        <w:t>wniosków</w:t>
      </w:r>
      <w:r>
        <w:rPr/>
        <w:t xml:space="preserve"> za pośrednictwem poczty elektronicznej lub kuriera/operatora pocztowego.</w:t>
      </w:r>
      <w:r>
        <w:rPr>
          <w:lang w:val="pl-PL"/>
        </w:rPr>
        <w:t xml:space="preserve"> Złożone w ten sposób wnioski nie będą rozpatrywane.</w:t>
      </w:r>
    </w:p>
    <w:p>
      <w:pPr>
        <w:pStyle w:val="ListParagraph"/>
        <w:ind w:left="720" w:hanging="0"/>
        <w:jc w:val="left"/>
        <w:rPr>
          <w:rFonts w:cs="Times New Roman"/>
          <w:bCs/>
          <w:szCs w:val="24"/>
        </w:rPr>
      </w:pPr>
      <w:r>
        <w:rPr>
          <w:rFonts w:cs="Times New Roman"/>
          <w:bCs/>
          <w:szCs w:val="24"/>
        </w:rPr>
      </w:r>
    </w:p>
    <w:p>
      <w:pPr>
        <w:pStyle w:val="ListParagraph"/>
        <w:ind w:left="720" w:hanging="0"/>
        <w:jc w:val="left"/>
        <w:rPr>
          <w:rFonts w:cs="Times New Roman"/>
          <w:bCs/>
          <w:szCs w:val="24"/>
        </w:rPr>
      </w:pPr>
      <w:r>
        <w:rPr>
          <w:lang w:val="pl-PL"/>
        </w:rPr>
        <w:t>10.   Wniosek należy złożyć w biurze Grantodawcy w trakcie trwania naboru wniosków, w godzinach wskazanych w ogłoszeniu o naborze.</w:t>
      </w:r>
    </w:p>
    <w:p>
      <w:pPr>
        <w:pStyle w:val="Nagwek11"/>
        <w:jc w:val="left"/>
        <w:rPr>
          <w:strike/>
        </w:rPr>
      </w:pPr>
      <w:bookmarkStart w:id="32" w:name="_Toc163484310"/>
      <w:bookmarkStart w:id="33" w:name="_Toc162422622"/>
      <w:r>
        <w:rPr/>
        <w:t>Rozdział XIII PODSTAWOWE OBOWIĄZKI GRANTOBIORCY</w:t>
      </w:r>
      <w:bookmarkEnd w:id="32"/>
      <w:bookmarkEnd w:id="33"/>
    </w:p>
    <w:p>
      <w:pPr>
        <w:pStyle w:val="Normal"/>
        <w:jc w:val="left"/>
        <w:rPr>
          <w:rFonts w:cs="Times New Roman"/>
          <w:bCs/>
          <w:szCs w:val="24"/>
        </w:rPr>
      </w:pPr>
      <w:r>
        <w:rPr/>
        <w:t>Grantobiorca ma w szczególności obowiązek:</w:t>
      </w:r>
    </w:p>
    <w:p>
      <w:pPr>
        <w:pStyle w:val="ListParagraph"/>
        <w:numPr>
          <w:ilvl w:val="0"/>
          <w:numId w:val="5"/>
        </w:numPr>
        <w:jc w:val="left"/>
        <w:rPr>
          <w:rFonts w:cs="Times New Roman"/>
          <w:bCs/>
          <w:szCs w:val="24"/>
        </w:rPr>
      </w:pPr>
      <w:r>
        <w:rPr/>
        <w:t>zapoznania się z Regulaminem naboru wniosków wraz z załącznikami, dotyczącymi realizacji projektu grantowego przed złożeniem Wniosku o powierzenie Grantu. Złożenie Wniosku o powierzenie Grantu oznacza - deklarację udziału w Projekcie, zaakceptowanie warunków Regulaminu i zobowiązanie się do ich stosowania;</w:t>
      </w:r>
    </w:p>
    <w:p>
      <w:pPr>
        <w:pStyle w:val="ListParagraph"/>
        <w:jc w:val="left"/>
        <w:rPr>
          <w:rFonts w:cs="Times New Roman"/>
          <w:bCs/>
          <w:szCs w:val="24"/>
        </w:rPr>
      </w:pPr>
      <w:r>
        <w:rPr>
          <w:rFonts w:cs="Times New Roman"/>
          <w:bCs/>
          <w:szCs w:val="24"/>
        </w:rPr>
      </w:r>
    </w:p>
    <w:p>
      <w:pPr>
        <w:pStyle w:val="ListParagraph"/>
        <w:numPr>
          <w:ilvl w:val="0"/>
          <w:numId w:val="5"/>
        </w:numPr>
        <w:jc w:val="left"/>
        <w:rPr>
          <w:rFonts w:cs="Times New Roman"/>
          <w:bCs/>
          <w:szCs w:val="24"/>
        </w:rPr>
      </w:pPr>
      <w:r>
        <w:rPr/>
        <w:t>podawania prawdziwych informacji w dokumentach przedstawianych Grantodawcy pod rygorem odpowiedzialności karnej za składanie oświadczeń niezgodnych z prawdą;</w:t>
      </w:r>
    </w:p>
    <w:p>
      <w:pPr>
        <w:pStyle w:val="ListParagraph"/>
        <w:jc w:val="left"/>
        <w:rPr>
          <w:rFonts w:cs="Times New Roman"/>
          <w:bCs/>
          <w:szCs w:val="24"/>
        </w:rPr>
      </w:pPr>
      <w:r>
        <w:rPr>
          <w:rFonts w:cs="Times New Roman"/>
          <w:bCs/>
          <w:szCs w:val="24"/>
        </w:rPr>
      </w:r>
    </w:p>
    <w:p>
      <w:pPr>
        <w:pStyle w:val="ListParagraph"/>
        <w:numPr>
          <w:ilvl w:val="0"/>
          <w:numId w:val="5"/>
        </w:numPr>
        <w:jc w:val="left"/>
        <w:rPr>
          <w:rFonts w:cs="Times New Roman"/>
          <w:bCs/>
          <w:szCs w:val="24"/>
        </w:rPr>
      </w:pPr>
      <w:r>
        <w:rPr/>
        <w:t>poddania się czynnościom monitoringowym i kontrolnym zgodnie z postanowieniami Procedury;</w:t>
      </w:r>
    </w:p>
    <w:p>
      <w:pPr>
        <w:pStyle w:val="ListParagraph"/>
        <w:jc w:val="left"/>
        <w:rPr>
          <w:rFonts w:cs="Times New Roman"/>
          <w:bCs/>
          <w:szCs w:val="24"/>
        </w:rPr>
      </w:pPr>
      <w:r>
        <w:rPr>
          <w:rFonts w:cs="Times New Roman"/>
          <w:bCs/>
          <w:szCs w:val="24"/>
        </w:rPr>
      </w:r>
    </w:p>
    <w:p>
      <w:pPr>
        <w:pStyle w:val="ListParagraph"/>
        <w:numPr>
          <w:ilvl w:val="0"/>
          <w:numId w:val="5"/>
        </w:numPr>
        <w:jc w:val="left"/>
        <w:rPr>
          <w:rFonts w:cs="Times New Roman"/>
          <w:bCs/>
          <w:szCs w:val="24"/>
        </w:rPr>
      </w:pPr>
      <w:r>
        <w:rPr/>
        <w:t>przedkładania do Grantodawcy wszelkich dokumentów niezbędnych do rozliczenia Grantu;</w:t>
      </w:r>
    </w:p>
    <w:p>
      <w:pPr>
        <w:pStyle w:val="ListParagraph"/>
        <w:jc w:val="left"/>
        <w:rPr>
          <w:rFonts w:cs="Times New Roman"/>
          <w:bCs/>
          <w:szCs w:val="24"/>
        </w:rPr>
      </w:pPr>
      <w:r>
        <w:rPr>
          <w:rFonts w:cs="Times New Roman"/>
          <w:bCs/>
          <w:szCs w:val="24"/>
        </w:rPr>
      </w:r>
    </w:p>
    <w:p>
      <w:pPr>
        <w:pStyle w:val="ListParagraph"/>
        <w:numPr>
          <w:ilvl w:val="0"/>
          <w:numId w:val="5"/>
        </w:numPr>
        <w:jc w:val="left"/>
        <w:rPr>
          <w:rFonts w:cs="Times New Roman"/>
          <w:bCs/>
          <w:szCs w:val="24"/>
        </w:rPr>
      </w:pPr>
      <w:r>
        <w:rPr/>
        <w:t>udostępniania lub przekazywania na wniosek Grantodawcy wszelkich dokumentów i informacji dotyczących realizacji Grantu, w tym oryginałów dokumentów związanych z uzyskaniem i wykorzystaniem Grantu;</w:t>
      </w:r>
    </w:p>
    <w:p>
      <w:pPr>
        <w:pStyle w:val="ListParagraph"/>
        <w:jc w:val="left"/>
        <w:rPr>
          <w:rFonts w:cs="Times New Roman"/>
          <w:bCs/>
          <w:strike w:val="false"/>
          <w:dstrike w:val="false"/>
          <w:szCs w:val="24"/>
        </w:rPr>
      </w:pPr>
      <w:r>
        <w:rPr>
          <w:rFonts w:cs="Times New Roman"/>
          <w:bCs/>
          <w:strike w:val="false"/>
          <w:dstrike w:val="false"/>
          <w:szCs w:val="24"/>
        </w:rPr>
      </w:r>
    </w:p>
    <w:p>
      <w:pPr>
        <w:pStyle w:val="ListParagraph"/>
        <w:numPr>
          <w:ilvl w:val="0"/>
          <w:numId w:val="5"/>
        </w:numPr>
        <w:jc w:val="left"/>
        <w:rPr>
          <w:strike w:val="false"/>
          <w:dstrike w:val="false"/>
        </w:rPr>
      </w:pPr>
      <w:r>
        <w:rPr>
          <w:strike w:val="false"/>
          <w:dstrike w:val="false"/>
        </w:rPr>
        <w:t>wykorzystania Grantu zgodnie z Umową o powierzenie Grantu i Regulaminem;</w:t>
      </w:r>
    </w:p>
    <w:p>
      <w:pPr>
        <w:pStyle w:val="ListParagraph"/>
        <w:rPr>
          <w:rFonts w:cs="Times New Roman"/>
          <w:bCs/>
          <w:strike w:val="false"/>
          <w:dstrike w:val="false"/>
          <w:szCs w:val="24"/>
        </w:rPr>
      </w:pPr>
      <w:r>
        <w:rPr>
          <w:rFonts w:cs="Times New Roman"/>
          <w:bCs/>
          <w:strike w:val="false"/>
          <w:dstrike w:val="false"/>
          <w:szCs w:val="24"/>
        </w:rPr>
      </w:r>
    </w:p>
    <w:p>
      <w:pPr>
        <w:pStyle w:val="ListParagraph"/>
        <w:numPr>
          <w:ilvl w:val="0"/>
          <w:numId w:val="16"/>
        </w:numPr>
        <w:suppressAutoHyphens w:val="false"/>
        <w:jc w:val="left"/>
        <w:rPr>
          <w:strike w:val="false"/>
          <w:dstrike w:val="false"/>
        </w:rPr>
      </w:pPr>
      <w:r>
        <w:rPr>
          <w:strike w:val="false"/>
          <w:dstrike w:val="false"/>
        </w:rPr>
        <w:t>projekt objęty grantem powinien być realizowany zgodnie z poszanowaniem zasad horyzontalnych wynikających z przepisów prawa krajowego i unijnego, tj.</w:t>
      </w:r>
    </w:p>
    <w:p>
      <w:pPr>
        <w:pStyle w:val="ListParagraph"/>
        <w:numPr>
          <w:ilvl w:val="0"/>
          <w:numId w:val="17"/>
        </w:numPr>
        <w:suppressAutoHyphens w:val="false"/>
        <w:jc w:val="left"/>
        <w:rPr>
          <w:strike w:val="false"/>
          <w:dstrike w:val="false"/>
        </w:rPr>
      </w:pPr>
      <w:r>
        <w:rPr>
          <w:strike w:val="false"/>
          <w:dstrike w:val="false"/>
        </w:rPr>
        <w:t>zasadą równości szans i niedyskryminacji, w tym dostępności dla osób z niepełnosprawnościami,</w:t>
      </w:r>
    </w:p>
    <w:p>
      <w:pPr>
        <w:pStyle w:val="ListParagraph"/>
        <w:numPr>
          <w:ilvl w:val="0"/>
          <w:numId w:val="17"/>
        </w:numPr>
        <w:suppressAutoHyphens w:val="false"/>
        <w:jc w:val="left"/>
        <w:rPr>
          <w:strike w:val="false"/>
          <w:dstrike w:val="false"/>
        </w:rPr>
      </w:pPr>
      <w:r>
        <w:rPr>
          <w:strike w:val="false"/>
          <w:dstrike w:val="false"/>
        </w:rPr>
        <w:t>zasadą równości szans kobiet i mężczyzn w oparciu o standard minimum,</w:t>
      </w:r>
    </w:p>
    <w:p>
      <w:pPr>
        <w:pStyle w:val="ListParagraph"/>
        <w:numPr>
          <w:ilvl w:val="0"/>
          <w:numId w:val="17"/>
        </w:numPr>
        <w:suppressAutoHyphens w:val="false"/>
        <w:jc w:val="left"/>
        <w:rPr>
          <w:strike w:val="false"/>
          <w:dstrike w:val="false"/>
        </w:rPr>
      </w:pPr>
      <w:r>
        <w:rPr>
          <w:strike w:val="false"/>
          <w:dstrike w:val="false"/>
        </w:rPr>
        <w:t>zasadą zrównoważonego rozwoju,</w:t>
      </w:r>
    </w:p>
    <w:p>
      <w:pPr>
        <w:pStyle w:val="ListParagraph"/>
        <w:numPr>
          <w:ilvl w:val="0"/>
          <w:numId w:val="17"/>
        </w:numPr>
        <w:suppressAutoHyphens w:val="false"/>
        <w:jc w:val="left"/>
        <w:rPr>
          <w:strike w:val="false"/>
          <w:dstrike w:val="false"/>
        </w:rPr>
      </w:pPr>
      <w:r>
        <w:rPr>
          <w:strike w:val="false"/>
          <w:dstrike w:val="false"/>
        </w:rPr>
        <w:t>Kartą Praw Podstawowych Unii Europejskiej z dnia 7 czerwca 2016 r.,</w:t>
      </w:r>
    </w:p>
    <w:p>
      <w:pPr>
        <w:pStyle w:val="ListParagraph"/>
        <w:numPr>
          <w:ilvl w:val="0"/>
          <w:numId w:val="17"/>
        </w:numPr>
        <w:suppressAutoHyphens w:val="false"/>
        <w:jc w:val="left"/>
        <w:rPr>
          <w:strike/>
        </w:rPr>
      </w:pPr>
      <w:r>
        <w:rPr>
          <w:strike w:val="false"/>
          <w:dstrike w:val="false"/>
        </w:rPr>
        <w:t>Konwencją o Prawach Osób Niepełnosprawnych, sporządzoną w Nowym Jorku dnia 13 gru</w:t>
      </w:r>
      <w:r>
        <w:rPr/>
        <w:t xml:space="preserve">dnia 2006 r. </w:t>
      </w:r>
    </w:p>
    <w:p>
      <w:pPr>
        <w:pStyle w:val="ListParagraph"/>
        <w:ind w:left="720" w:hanging="0"/>
        <w:jc w:val="left"/>
        <w:rPr>
          <w:b/>
          <w:b/>
          <w:bCs/>
          <w:color w:val="000000"/>
        </w:rPr>
      </w:pPr>
      <w:r>
        <w:rPr>
          <w:b/>
          <w:bCs/>
          <w:color w:val="000000"/>
        </w:rPr>
        <w:t>Wnioskodawca ubiegający się o przyznanie grantu zobowiązany jest we wniosku o powierzenie grantu przedstawić sposób realizacji poszczególnych zasad.</w:t>
      </w:r>
    </w:p>
    <w:p>
      <w:pPr>
        <w:pStyle w:val="Nagwek11"/>
        <w:jc w:val="left"/>
        <w:rPr>
          <w:strike/>
        </w:rPr>
      </w:pPr>
      <w:bookmarkStart w:id="34" w:name="_Toc163484311"/>
      <w:bookmarkStart w:id="35" w:name="_Toc162422623"/>
      <w:r>
        <w:rPr/>
        <w:t>Rozdział XIV SPOSÓB ROZLICZANIA GRANTÓW, MONITOROWANIE I KONTROLA</w:t>
      </w:r>
      <w:bookmarkEnd w:id="34"/>
      <w:bookmarkEnd w:id="35"/>
    </w:p>
    <w:p>
      <w:pPr>
        <w:pStyle w:val="Normal"/>
        <w:jc w:val="left"/>
        <w:rPr>
          <w:rFonts w:cs="Times New Roman"/>
          <w:bCs/>
          <w:szCs w:val="24"/>
        </w:rPr>
      </w:pPr>
      <w:r>
        <w:rPr/>
        <w:t>Sposób rozliczania grantów, monitorowanie i kontrola ich realizacji odbywać się będzie na zasadach określonych Procedury wyboru i oceny grantobiorców w ramach projektów grantowych wraz z opisem sposobu rozliczania grantów, monitorowania i kontroli, współfinansowanego w ramach Europejskiego Funduszu Społecznego Plus Fundusze Europejskie dla Lubuskiego 2021-2027, która stanowi załącznik nr 1 do niniejszego Regulamin.</w:t>
      </w:r>
    </w:p>
    <w:p>
      <w:pPr>
        <w:pStyle w:val="Nagwek11"/>
        <w:jc w:val="left"/>
        <w:rPr>
          <w:strike/>
        </w:rPr>
      </w:pPr>
      <w:bookmarkStart w:id="36" w:name="_Toc163484312"/>
      <w:bookmarkStart w:id="37" w:name="_Toc162422624"/>
      <w:r>
        <w:rPr/>
        <w:t>Rozdział XV POSTANOWIENIA KOŃCOWE</w:t>
      </w:r>
      <w:bookmarkEnd w:id="36"/>
      <w:bookmarkEnd w:id="37"/>
    </w:p>
    <w:p>
      <w:pPr>
        <w:pStyle w:val="Normal"/>
        <w:jc w:val="left"/>
        <w:rPr>
          <w:rFonts w:cs="Times New Roman"/>
          <w:bCs/>
          <w:szCs w:val="24"/>
        </w:rPr>
      </w:pPr>
      <w:r>
        <w:rPr/>
        <w:t>1. Grantodawca zastrzega sobie prawo do zmiany zapisów niniejszego Regulaminu oraz jego załączników, jeżeli zmiany takie narzuci Instytucja Zarządzająca Programem Fundusze Europejskie dla Lubuskiego 2021-2027, bądź wynikną one z nowych uregulowań prawnych, a także w innych przypadkach, w szczególności, jeżeli będzie to niezbędne do prawidłowej realizacji Projektu. Informacja o ewentualnych zmianach będzie zamieszczana na stronie internetowej Grantodawcy z podaniem daty od kiedy obowiązuje zmiana i w jakim zakresie. Informacja rozpowszechniona zostanie we wszystkich miejscach, w których ogłoszony został nabór.</w:t>
      </w:r>
    </w:p>
    <w:p>
      <w:pPr>
        <w:pStyle w:val="Normal"/>
        <w:jc w:val="left"/>
        <w:rPr>
          <w:rFonts w:cs="Times New Roman"/>
          <w:bCs/>
          <w:szCs w:val="24"/>
        </w:rPr>
      </w:pPr>
      <w:r>
        <w:rPr/>
        <w:t>2. Sprawy nieuregulowane w Regulaminie rozstrzygane są przez Grantodawcę.</w:t>
      </w:r>
    </w:p>
    <w:p>
      <w:pPr>
        <w:pStyle w:val="Nagwek11"/>
        <w:jc w:val="left"/>
        <w:rPr>
          <w:strike/>
        </w:rPr>
      </w:pPr>
      <w:bookmarkStart w:id="38" w:name="_Toc163484313"/>
      <w:bookmarkStart w:id="39" w:name="_Toc162422625"/>
      <w:r>
        <w:rPr/>
        <w:t>Rozdział XVI DODATKOWE INFORMACJE NA TEMAT NABORU</w:t>
      </w:r>
      <w:bookmarkEnd w:id="38"/>
      <w:bookmarkEnd w:id="39"/>
    </w:p>
    <w:p>
      <w:pPr>
        <w:pStyle w:val="Normal"/>
        <w:jc w:val="left"/>
        <w:rPr>
          <w:strike/>
        </w:rPr>
      </w:pPr>
      <w:r>
        <w:rPr/>
        <w:t>Dodatkowe informacje na temat naboru można uzyskać mailowo, telefonicznie lub w siedzibie Grantodawcy.</w:t>
      </w:r>
    </w:p>
    <w:p>
      <w:pPr>
        <w:pStyle w:val="Normal"/>
        <w:rPr>
          <w:rFonts w:cs="Times New Roman"/>
          <w:bCs/>
          <w:szCs w:val="24"/>
        </w:rPr>
      </w:pPr>
      <w:bookmarkStart w:id="40" w:name="_Toc163484314"/>
      <w:r>
        <w:rPr>
          <w:rStyle w:val="Nagwek1Znak"/>
          <w:color w:val="auto"/>
        </w:rPr>
        <w:t>Załączniki do Regulaminu</w:t>
      </w:r>
      <w:bookmarkEnd w:id="40"/>
      <w:r>
        <w:rPr/>
        <w:t>:</w:t>
      </w:r>
    </w:p>
    <w:p>
      <w:pPr>
        <w:pStyle w:val="Normal"/>
        <w:jc w:val="left"/>
        <w:rPr>
          <w:rFonts w:cs="Times New Roman"/>
          <w:bCs/>
          <w:szCs w:val="24"/>
        </w:rPr>
      </w:pPr>
      <w:r>
        <w:rPr/>
        <w:t>Załącznik Nr 1 – Procedury wyboru i oceny grantobiorców w ramach projektów grantowych wraz z opisem sposobu rozliczania grantów, monitorowania i kontroli współfinansowanego w ramach Europejskiego Funduszu Społecznego Plus Fundusze Europejskie dla Lubuskiego 2021-2027</w:t>
      </w:r>
    </w:p>
    <w:p>
      <w:pPr>
        <w:pStyle w:val="Normal"/>
        <w:rPr>
          <w:rFonts w:cs="Times New Roman"/>
          <w:bCs/>
          <w:szCs w:val="24"/>
        </w:rPr>
      </w:pPr>
      <w:r>
        <w:rPr>
          <w:rFonts w:cs="Times New Roman"/>
          <w:bCs/>
          <w:szCs w:val="24"/>
        </w:rPr>
      </w:r>
    </w:p>
    <w:p>
      <w:pPr>
        <w:pStyle w:val="Normal"/>
        <w:spacing w:before="0" w:after="200"/>
        <w:rPr>
          <w:rFonts w:cs="Times New Roman"/>
          <w:bCs/>
          <w:szCs w:val="24"/>
        </w:rPr>
      </w:pPr>
      <w:r>
        <w:rPr/>
      </w:r>
      <w:bookmarkStart w:id="41" w:name="_Hlk1351354932"/>
      <w:bookmarkStart w:id="42" w:name="_Hlk1351354932"/>
      <w:bookmarkEnd w:id="2"/>
      <w:bookmarkEnd w:id="3"/>
      <w:bookmarkEnd w:id="42"/>
    </w:p>
    <w:sectPr>
      <w:headerReference w:type="default" r:id="rId13"/>
      <w:headerReference w:type="first" r:id="rId14"/>
      <w:footerReference w:type="default" r:id="rId15"/>
      <w:footerReference w:type="first" r:id="rId16"/>
      <w:footnotePr>
        <w:numFmt w:val="decimal"/>
      </w:footnotePr>
      <w:type w:val="nextPage"/>
      <w:pgSz w:w="11906" w:h="16838"/>
      <w:pgMar w:left="1418" w:right="1418" w:gutter="0" w:header="284" w:top="1701" w:footer="709" w:bottom="1418"/>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Arial Narrow">
    <w:charset w:val="ee"/>
    <w:family w:val="roman"/>
    <w:pitch w:val="variable"/>
  </w:font>
  <w:font w:name="Tahoma">
    <w:charset w:val="ee"/>
    <w:family w:val="roman"/>
    <w:pitch w:val="variable"/>
  </w:font>
  <w:font w:name="Cambria">
    <w:charset w:val="ee"/>
    <w:family w:val="roman"/>
    <w:pitch w:val="variable"/>
  </w:font>
  <w:font w:name="Liberation Sans">
    <w:altName w:val="Arial"/>
    <w:charset w:val="ee"/>
    <w:family w:val="roman"/>
    <w:pitch w:val="variable"/>
  </w:font>
  <w:font w:name="Aria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rPr/>
    </w:pPr>
    <w:r>
      <w:rPr/>
      <mc:AlternateContent>
        <mc:Choice Requires="wpg">
          <w:drawing>
            <wp:anchor behindDoc="1" distT="0" distB="0" distL="0" distR="0" simplePos="0" locked="0" layoutInCell="0" allowOverlap="1" relativeHeight="23" wp14:anchorId="54DEBC83">
              <wp:simplePos x="0" y="0"/>
              <wp:positionH relativeFrom="margin">
                <wp:posOffset>0</wp:posOffset>
              </wp:positionH>
              <wp:positionV relativeFrom="paragraph">
                <wp:posOffset>635</wp:posOffset>
              </wp:positionV>
              <wp:extent cx="6018530" cy="687070"/>
              <wp:effectExtent l="0" t="0" r="0" b="0"/>
              <wp:wrapNone/>
              <wp:docPr id="4" name="shape_0"/>
              <a:graphic xmlns:a="http://schemas.openxmlformats.org/drawingml/2006/main">
                <a:graphicData uri="http://schemas.microsoft.com/office/word/2010/wordprocessingGroup">
                  <wpg:wgp>
                    <wpg:cNvGrpSpPr/>
                    <wpg:grpSpPr>
                      <a:xfrm>
                        <a:off x="0" y="0"/>
                        <a:ext cx="6018480" cy="687240"/>
                        <a:chOff x="0" y="0"/>
                        <a:chExt cx="6018480" cy="687240"/>
                      </a:xfrm>
                    </wpg:grpSpPr>
                    <pic:pic xmlns:pic="http://schemas.openxmlformats.org/drawingml/2006/picture">
                      <pic:nvPicPr>
                        <pic:cNvPr id="0" name="Obraz 3" descr=""/>
                        <pic:cNvPicPr/>
                      </pic:nvPicPr>
                      <pic:blipFill>
                        <a:blip r:embed="rId1"/>
                        <a:stretch/>
                      </pic:blipFill>
                      <pic:spPr>
                        <a:xfrm>
                          <a:off x="5082480" y="90720"/>
                          <a:ext cx="936000" cy="515160"/>
                        </a:xfrm>
                        <a:prstGeom prst="rect">
                          <a:avLst/>
                        </a:prstGeom>
                        <a:ln w="0">
                          <a:noFill/>
                        </a:ln>
                      </pic:spPr>
                    </pic:pic>
                    <pic:pic xmlns:pic="http://schemas.openxmlformats.org/drawingml/2006/picture">
                      <pic:nvPicPr>
                        <pic:cNvPr id="1" name="Obraz 5" descr=""/>
                        <pic:cNvPicPr/>
                      </pic:nvPicPr>
                      <pic:blipFill>
                        <a:blip r:embed="rId2"/>
                        <a:stretch/>
                      </pic:blipFill>
                      <pic:spPr>
                        <a:xfrm>
                          <a:off x="3122280" y="82080"/>
                          <a:ext cx="1735920" cy="584280"/>
                        </a:xfrm>
                        <a:prstGeom prst="rect">
                          <a:avLst/>
                        </a:prstGeom>
                        <a:ln w="0">
                          <a:noFill/>
                        </a:ln>
                      </pic:spPr>
                    </pic:pic>
                    <pic:pic xmlns:pic="http://schemas.openxmlformats.org/drawingml/2006/picture">
                      <pic:nvPicPr>
                        <pic:cNvPr id="2" name="Obraz 9" descr=""/>
                        <pic:cNvPicPr/>
                      </pic:nvPicPr>
                      <pic:blipFill>
                        <a:blip r:embed="rId3"/>
                        <a:stretch/>
                      </pic:blipFill>
                      <pic:spPr>
                        <a:xfrm>
                          <a:off x="1530360" y="72360"/>
                          <a:ext cx="1481400" cy="584280"/>
                        </a:xfrm>
                        <a:prstGeom prst="rect">
                          <a:avLst/>
                        </a:prstGeom>
                        <a:ln w="0">
                          <a:noFill/>
                        </a:ln>
                      </pic:spPr>
                    </pic:pic>
                    <pic:pic xmlns:pic="http://schemas.openxmlformats.org/drawingml/2006/picture">
                      <pic:nvPicPr>
                        <pic:cNvPr id="3" name="Obraz 10" descr=""/>
                        <pic:cNvPicPr/>
                      </pic:nvPicPr>
                      <pic:blipFill>
                        <a:blip r:embed="rId4"/>
                        <a:stretch/>
                      </pic:blipFill>
                      <pic:spPr>
                        <a:xfrm>
                          <a:off x="0" y="0"/>
                          <a:ext cx="1430640" cy="687240"/>
                        </a:xfrm>
                        <a:prstGeom prst="rect">
                          <a:avLst/>
                        </a:prstGeom>
                        <a:ln w="0">
                          <a:noFill/>
                        </a:ln>
                      </pic:spPr>
                    </pic:pic>
                  </wpg:wgp>
                </a:graphicData>
              </a:graphic>
            </wp:anchor>
          </w:drawing>
        </mc:Choice>
        <mc:Fallback>
          <w:pict>
            <v:group id="shape_0" alt="shape_0" style="position:absolute;margin-left:0pt;margin-top:0.05pt;width:473.9pt;height:54.1pt" coordorigin="0,1" coordsize="9478,10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Obraz 3" stroked="f" o:allowincell="f" style="position:absolute;left:8004;top:144;width:1473;height:810;mso-wrap-style:none;v-text-anchor:middle;mso-position-horizontal-relative:margin" type="_x0000_t75">
                <v:imagedata r:id="rId1" o:detectmouseclick="t"/>
                <v:stroke color="#3465a4" joinstyle="round" endcap="flat"/>
                <w10:wrap type="none"/>
              </v:shape>
              <v:shape id="shape_0" ID="Obraz 5" stroked="f" o:allowincell="f" style="position:absolute;left:4917;top:130;width:2733;height:919;mso-wrap-style:none;v-text-anchor:middle;mso-position-horizontal-relative:margin" type="_x0000_t75">
                <v:imagedata r:id="rId2" o:detectmouseclick="t"/>
                <v:stroke color="#3465a4" joinstyle="round" endcap="flat"/>
                <w10:wrap type="none"/>
              </v:shape>
              <v:shape id="shape_0" ID="Obraz 9" stroked="f" o:allowincell="f" style="position:absolute;left:2410;top:115;width:2332;height:919;mso-wrap-style:none;v-text-anchor:middle;mso-position-horizontal-relative:margin" type="_x0000_t75">
                <v:imagedata r:id="rId3" o:detectmouseclick="t"/>
                <v:stroke color="#3465a4" joinstyle="round" endcap="flat"/>
                <w10:wrap type="none"/>
              </v:shape>
              <v:shape id="shape_0" ID="Obraz 10" stroked="f" o:allowincell="f" style="position:absolute;left:0;top:1;width:2252;height:1081;mso-wrap-style:none;v-text-anchor:middle;mso-position-horizontal-relative:margin" type="_x0000_t75">
                <v:imagedata r:id="rId4" o:detectmouseclick="t"/>
                <v:stroke color="#3465a4" joinstyle="round" endcap="flat"/>
                <w10:wrap type="none"/>
              </v:shape>
            </v:group>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75749411"/>
    </w:sdtPr>
    <w:sdtContent>
      <w:p>
        <w:pPr>
          <w:pStyle w:val="Stopka"/>
          <w:pBdr>
            <w:top w:val="single" w:sz="4" w:space="1" w:color="D9D9D9"/>
          </w:pBdr>
          <w:jc w:val="right"/>
          <w:rPr/>
        </w:pPr>
        <w:r>
          <w:rPr/>
          <w:fldChar w:fldCharType="begin"/>
        </w:r>
        <w:r>
          <w:rPr/>
          <w:instrText xml:space="preserve"> PAGE </w:instrText>
        </w:r>
        <w:r>
          <w:rPr/>
          <w:fldChar w:fldCharType="separate"/>
        </w:r>
        <w:r>
          <w:rPr/>
          <w:t>9</w:t>
        </w:r>
        <w:r>
          <w:rPr/>
          <w:fldChar w:fldCharType="end"/>
        </w:r>
        <w:r>
          <w:rPr/>
          <w:t xml:space="preserve"> </w:t>
        </w:r>
        <w:r>
          <w:rPr/>
          <w:t xml:space="preserve">| </w:t>
        </w:r>
        <w:r>
          <w:rPr>
            <w:color w:val="7F7F7F" w:themeColor="background1" w:themeShade="7f"/>
            <w:spacing w:val="60"/>
          </w:rPr>
          <w:t>Strona</w:t>
        </w:r>
      </w:p>
    </w:sdtContent>
  </w:sdt>
  <w:p>
    <w:pPr>
      <w:pStyle w:val="Stopka"/>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opka"/>
      <w:jc w:val="cen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869714300"/>
    </w:sdtPr>
    <w:sdtContent>
      <w:p>
        <w:pPr>
          <w:pStyle w:val="Stopka"/>
          <w:pBdr>
            <w:top w:val="single" w:sz="4" w:space="1" w:color="D9D9D9"/>
          </w:pBdr>
          <w:jc w:val="right"/>
          <w:rPr/>
        </w:pPr>
        <w:r>
          <w:rPr/>
          <w:fldChar w:fldCharType="begin"/>
        </w:r>
        <w:r>
          <w:rPr/>
          <w:instrText xml:space="preserve"> PAGE </w:instrText>
        </w:r>
        <w:r>
          <w:rPr/>
          <w:fldChar w:fldCharType="separate"/>
        </w:r>
        <w:r>
          <w:rPr/>
          <w:t>22</w:t>
        </w:r>
        <w:r>
          <w:rPr/>
          <w:fldChar w:fldCharType="end"/>
        </w:r>
        <w:r>
          <w:rPr/>
          <w:t xml:space="preserve"> </w:t>
        </w:r>
        <w:r>
          <w:rPr/>
          <w:t xml:space="preserve">| </w:t>
        </w:r>
        <w:r>
          <w:rPr>
            <w:color w:val="7F7F7F" w:themeColor="background1" w:themeShade="7f"/>
            <w:spacing w:val="60"/>
          </w:rPr>
          <w:t>Strona</w:t>
        </w:r>
      </w:p>
    </w:sdtContent>
  </w:sdt>
  <w:p>
    <w:pPr>
      <w:pStyle w:val="Stopka"/>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140249845"/>
    </w:sdtPr>
    <w:sdtContent>
      <w:p>
        <w:pPr>
          <w:pStyle w:val="Stopka"/>
          <w:pBdr>
            <w:top w:val="single" w:sz="4" w:space="1" w:color="D9D9D9"/>
          </w:pBdr>
          <w:jc w:val="right"/>
          <w:rPr/>
        </w:pPr>
        <w:r>
          <w:rPr/>
          <w:fldChar w:fldCharType="begin"/>
        </w:r>
        <w:r>
          <w:rPr/>
          <w:instrText xml:space="preserve"> PAGE </w:instrText>
        </w:r>
        <w:r>
          <w:rPr/>
          <w:fldChar w:fldCharType="separate"/>
        </w:r>
        <w:r>
          <w:rPr/>
          <w:t>18</w:t>
        </w:r>
        <w:r>
          <w:rPr/>
          <w:fldChar w:fldCharType="end"/>
        </w:r>
        <w:r>
          <w:rPr/>
          <w:t xml:space="preserve"> </w:t>
        </w:r>
        <w:r>
          <w:rPr/>
          <w:t xml:space="preserve">| </w:t>
        </w:r>
        <w:r>
          <w:rPr>
            <w:color w:val="7F7F7F" w:themeColor="background1" w:themeShade="7f"/>
            <w:spacing w:val="60"/>
          </w:rPr>
          <w:t>Strona</w:t>
        </w:r>
      </w:p>
    </w:sdtContent>
  </w:sdt>
  <w:p>
    <w:pPr>
      <w:pStyle w:val="Stopka"/>
      <w:jc w:val="cen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958327353"/>
    </w:sdtPr>
    <w:sdtContent>
      <w:p>
        <w:pPr>
          <w:pStyle w:val="Stopka"/>
          <w:pBdr>
            <w:top w:val="single" w:sz="4" w:space="1" w:color="D9D9D9"/>
          </w:pBdr>
          <w:jc w:val="right"/>
          <w:rPr/>
        </w:pPr>
        <w:r>
          <w:rPr/>
          <w:fldChar w:fldCharType="begin"/>
        </w:r>
        <w:r>
          <w:rPr/>
          <w:instrText xml:space="preserve"> PAGE </w:instrText>
        </w:r>
        <w:r>
          <w:rPr/>
          <w:fldChar w:fldCharType="separate"/>
        </w:r>
        <w:r>
          <w:rPr/>
          <w:t>25</w:t>
        </w:r>
        <w:r>
          <w:rPr/>
          <w:fldChar w:fldCharType="end"/>
        </w:r>
        <w:r>
          <w:rPr/>
          <w:t xml:space="preserve"> </w:t>
        </w:r>
        <w:r>
          <w:rPr/>
          <w:t xml:space="preserve">| </w:t>
        </w:r>
        <w:r>
          <w:rPr>
            <w:color w:val="7F7F7F" w:themeColor="background1" w:themeShade="7f"/>
            <w:spacing w:val="60"/>
          </w:rPr>
          <w:t>Strona</w:t>
        </w:r>
      </w:p>
    </w:sdtContent>
  </w:sdt>
  <w:p>
    <w:pPr>
      <w:pStyle w:val="Stopka"/>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18594457"/>
    </w:sdtPr>
    <w:sdtContent>
      <w:p>
        <w:pPr>
          <w:pStyle w:val="Stopka"/>
          <w:pBdr>
            <w:top w:val="single" w:sz="4" w:space="1" w:color="D9D9D9"/>
          </w:pBdr>
          <w:jc w:val="right"/>
          <w:rPr/>
        </w:pPr>
        <w:r>
          <w:rPr/>
          <w:fldChar w:fldCharType="begin"/>
        </w:r>
        <w:r>
          <w:rPr/>
          <w:instrText xml:space="preserve"> PAGE </w:instrText>
        </w:r>
        <w:r>
          <w:rPr/>
          <w:fldChar w:fldCharType="separate"/>
        </w:r>
        <w:r>
          <w:rPr/>
          <w:t>23</w:t>
        </w:r>
        <w:r>
          <w:rPr/>
          <w:fldChar w:fldCharType="end"/>
        </w:r>
        <w:r>
          <w:rPr/>
          <w:t xml:space="preserve"> </w:t>
        </w:r>
        <w:r>
          <w:rPr/>
          <w:t xml:space="preserve">| </w:t>
        </w:r>
        <w:r>
          <w:rPr>
            <w:color w:val="7F7F7F" w:themeColor="background1" w:themeShade="7f"/>
            <w:spacing w:val="60"/>
          </w:rPr>
          <w:t>Strona</w:t>
        </w:r>
      </w:p>
    </w:sdtContent>
  </w:sdt>
  <w:p>
    <w:pPr>
      <w:pStyle w:val="Stopka"/>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rPr/>
      </w:pPr>
      <w:r>
        <w:rPr>
          <w:rStyle w:val="Znakiprzypiswdolnych"/>
        </w:rPr>
        <w:footnoteRef/>
      </w:r>
      <w:r>
        <w:rPr/>
        <w:t xml:space="preserve"> </w:t>
      </w:r>
      <w:r>
        <w:rPr/>
        <w:t>Niepotrzebne skreślić</w:t>
      </w:r>
    </w:p>
  </w:footnote>
  <w:footnote w:id="3">
    <w:p>
      <w:pPr>
        <w:pStyle w:val="Przypisdolny"/>
        <w:rPr/>
      </w:pPr>
      <w:r>
        <w:rPr>
          <w:rStyle w:val="Znakiprzypiswdolnych"/>
        </w:rPr>
        <w:footnoteRef/>
      </w:r>
      <w:r>
        <w:rPr/>
        <w:t xml:space="preserve"> </w:t>
      </w:r>
      <w:r>
        <w:rPr/>
        <w:t>Niepotrzebne skreślić</w:t>
      </w:r>
    </w:p>
  </w:footnote>
  <w:footnote w:id="4">
    <w:p>
      <w:pPr>
        <w:pStyle w:val="Przypisdolny"/>
        <w:rPr/>
      </w:pPr>
      <w:r>
        <w:rPr>
          <w:rStyle w:val="Znakiprzypiswdolnych"/>
        </w:rPr>
        <w:footnoteRef/>
      </w:r>
      <w:r>
        <w:rPr/>
        <w:t xml:space="preserve"> </w:t>
      </w:r>
      <w:r>
        <w:rPr/>
        <w:t>Niepotrzebne skreślić</w:t>
      </w:r>
    </w:p>
  </w:footnote>
  <w:footnote w:id="5">
    <w:p>
      <w:pPr>
        <w:pStyle w:val="Przypisdolny"/>
        <w:rPr/>
      </w:pPr>
      <w:r>
        <w:rPr>
          <w:rStyle w:val="Znakiprzypiswdolnych"/>
        </w:rPr>
        <w:footnoteRef/>
      </w:r>
      <w:r>
        <w:rPr/>
        <w:t xml:space="preserve"> </w:t>
      </w:r>
      <w:r>
        <w:rPr/>
        <w:t>Umiejętności/kompetencje podstawowe (z ang. basic skills: literacy, numeracy, ICT skills) to podstawowe zdolności w zakresie rozumienia i tworzenia informacji, rozwijania i wykorzystania myślenia matematycznego oraz korzystania z technologii cyfrowych.</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rPr/>
    </w:pPr>
    <w:r>
      <w:rPr/>
    </w:r>
  </w:p>
  <w:p>
    <w:pPr>
      <w:pStyle w:val="Normal"/>
      <w:widowControl/>
      <w:suppressAutoHyphens w:val="true"/>
      <w:bidi w:val="0"/>
      <w:spacing w:lineRule="auto" w:line="276" w:before="0" w:after="200"/>
      <w:jc w:val="both"/>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jc w:val="center"/>
      <w:rPr/>
    </w:pPr>
    <w:r>
      <w:rPr/>
      <w:drawing>
        <wp:inline distT="0" distB="0" distL="0" distR="0">
          <wp:extent cx="5759450" cy="546735"/>
          <wp:effectExtent l="0" t="0" r="0" b="0"/>
          <wp:docPr id="2" name="Obraz2"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2"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jc w:val="center"/>
      <w:rPr/>
    </w:pPr>
    <w:r>
      <w:rPr/>
      <w:drawing>
        <wp:inline distT="0" distB="0" distL="0" distR="0">
          <wp:extent cx="5759450" cy="546735"/>
          <wp:effectExtent l="0" t="0" r="0" b="0"/>
          <wp:docPr id="3" name="Obraz3"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3"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jc w:val="center"/>
      <w:rPr/>
    </w:pPr>
    <w:r>
      <w:rPr/>
      <w:drawing>
        <wp:inline distT="0" distB="0" distL="0" distR="0">
          <wp:extent cx="5759450" cy="546735"/>
          <wp:effectExtent l="0" t="0" r="0" b="0"/>
          <wp:docPr id="5" name="Obraz4"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4"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jc w:val="center"/>
      <w:rPr/>
    </w:pPr>
    <w:r>
      <w:rPr/>
      <w:drawing>
        <wp:inline distT="0" distB="0" distL="0" distR="0">
          <wp:extent cx="5759450" cy="546735"/>
          <wp:effectExtent l="0" t="0" r="0" b="0"/>
          <wp:docPr id="6" name="Obraz1"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1"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jc w:val="center"/>
      <w:rPr/>
    </w:pPr>
    <w:r>
      <w:rPr/>
      <w:drawing>
        <wp:inline distT="0" distB="0" distL="0" distR="0">
          <wp:extent cx="5759450" cy="546735"/>
          <wp:effectExtent l="0" t="0" r="0" b="0"/>
          <wp:docPr id="7" name="Obraz6"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6"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jc w:val="center"/>
      <w:rPr/>
    </w:pPr>
    <w:r>
      <w:rPr/>
      <w:drawing>
        <wp:inline distT="0" distB="0" distL="0" distR="0">
          <wp:extent cx="5759450" cy="546735"/>
          <wp:effectExtent l="0" t="0" r="0" b="0"/>
          <wp:docPr id="8" name="Obraz5" descr="C:\Users\urszula.mroz\Desktop\logotypy\logotypy -do PROW\perspektywa 2023-2027\belka 2023-2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5" descr="C:\Users\urszula.mroz\Desktop\logotypy\logotypy -do PROW\perspektywa 2023-2027\belka 2023-2027.jpg"/>
                  <pic:cNvPicPr>
                    <a:picLocks noChangeAspect="1" noChangeArrowheads="1"/>
                  </pic:cNvPicPr>
                </pic:nvPicPr>
                <pic:blipFill>
                  <a:blip r:embed="rId1"/>
                  <a:stretch>
                    <a:fillRect/>
                  </a:stretch>
                </pic:blipFill>
                <pic:spPr bwMode="auto">
                  <a:xfrm>
                    <a:off x="0" y="0"/>
                    <a:ext cx="5759450" cy="5467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705"/>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1065" w:hanging="705"/>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decimal"/>
      <w:lvlText w:val="%1."/>
      <w:lvlJc w:val="left"/>
      <w:pPr>
        <w:tabs>
          <w:tab w:val="num" w:pos="0"/>
        </w:tabs>
        <w:ind w:left="720" w:hanging="360"/>
      </w:pPr>
      <w:rPr>
        <w:sz w:val="24"/>
        <w:b w:val="false"/>
        <w:szCs w:val="24"/>
        <w:color w:val="000000" w:themeColor="text1"/>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0">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1440" w:hanging="360"/>
      </w:pPr>
      <w:rPr>
        <w:rFonts w:ascii="Wingdings" w:hAnsi="Wingdings" w:cs="Wingdings"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0">
    <w:lvl w:ilvl="0">
      <w:start w:val="1"/>
      <w:numFmt w:val="bullet"/>
      <w:lvlText w:val=""/>
      <w:lvlJc w:val="left"/>
      <w:pPr>
        <w:tabs>
          <w:tab w:val="num" w:pos="0"/>
        </w:tabs>
        <w:ind w:left="1064" w:hanging="360"/>
      </w:pPr>
      <w:rPr>
        <w:rFonts w:ascii="Symbol" w:hAnsi="Symbol" w:cs="Symbol" w:hint="default"/>
      </w:rPr>
    </w:lvl>
    <w:lvl w:ilvl="1">
      <w:start w:val="1"/>
      <w:numFmt w:val="bullet"/>
      <w:lvlText w:val="o"/>
      <w:lvlJc w:val="left"/>
      <w:pPr>
        <w:tabs>
          <w:tab w:val="num" w:pos="0"/>
        </w:tabs>
        <w:ind w:left="1784" w:hanging="360"/>
      </w:pPr>
      <w:rPr>
        <w:rFonts w:ascii="Courier New" w:hAnsi="Courier New" w:cs="Courier New" w:hint="default"/>
      </w:rPr>
    </w:lvl>
    <w:lvl w:ilvl="2">
      <w:start w:val="1"/>
      <w:numFmt w:val="bullet"/>
      <w:lvlText w:val=""/>
      <w:lvlJc w:val="left"/>
      <w:pPr>
        <w:tabs>
          <w:tab w:val="num" w:pos="0"/>
        </w:tabs>
        <w:ind w:left="2504" w:hanging="360"/>
      </w:pPr>
      <w:rPr>
        <w:rFonts w:ascii="Wingdings" w:hAnsi="Wingdings" w:cs="Wingdings" w:hint="default"/>
      </w:rPr>
    </w:lvl>
    <w:lvl w:ilvl="3">
      <w:start w:val="1"/>
      <w:numFmt w:val="bullet"/>
      <w:lvlText w:val=""/>
      <w:lvlJc w:val="left"/>
      <w:pPr>
        <w:tabs>
          <w:tab w:val="num" w:pos="0"/>
        </w:tabs>
        <w:ind w:left="3224" w:hanging="360"/>
      </w:pPr>
      <w:rPr>
        <w:rFonts w:ascii="Symbol" w:hAnsi="Symbol" w:cs="Symbol" w:hint="default"/>
      </w:rPr>
    </w:lvl>
    <w:lvl w:ilvl="4">
      <w:start w:val="1"/>
      <w:numFmt w:val="bullet"/>
      <w:lvlText w:val="o"/>
      <w:lvlJc w:val="left"/>
      <w:pPr>
        <w:tabs>
          <w:tab w:val="num" w:pos="0"/>
        </w:tabs>
        <w:ind w:left="3944" w:hanging="360"/>
      </w:pPr>
      <w:rPr>
        <w:rFonts w:ascii="Courier New" w:hAnsi="Courier New" w:cs="Courier New" w:hint="default"/>
      </w:rPr>
    </w:lvl>
    <w:lvl w:ilvl="5">
      <w:start w:val="1"/>
      <w:numFmt w:val="bullet"/>
      <w:lvlText w:val=""/>
      <w:lvlJc w:val="left"/>
      <w:pPr>
        <w:tabs>
          <w:tab w:val="num" w:pos="0"/>
        </w:tabs>
        <w:ind w:left="4664" w:hanging="360"/>
      </w:pPr>
      <w:rPr>
        <w:rFonts w:ascii="Wingdings" w:hAnsi="Wingdings" w:cs="Wingdings" w:hint="default"/>
      </w:rPr>
    </w:lvl>
    <w:lvl w:ilvl="6">
      <w:start w:val="1"/>
      <w:numFmt w:val="bullet"/>
      <w:lvlText w:val=""/>
      <w:lvlJc w:val="left"/>
      <w:pPr>
        <w:tabs>
          <w:tab w:val="num" w:pos="0"/>
        </w:tabs>
        <w:ind w:left="5384" w:hanging="360"/>
      </w:pPr>
      <w:rPr>
        <w:rFonts w:ascii="Symbol" w:hAnsi="Symbol" w:cs="Symbol" w:hint="default"/>
      </w:rPr>
    </w:lvl>
    <w:lvl w:ilvl="7">
      <w:start w:val="1"/>
      <w:numFmt w:val="bullet"/>
      <w:lvlText w:val="o"/>
      <w:lvlJc w:val="left"/>
      <w:pPr>
        <w:tabs>
          <w:tab w:val="num" w:pos="0"/>
        </w:tabs>
        <w:ind w:left="6104" w:hanging="360"/>
      </w:pPr>
      <w:rPr>
        <w:rFonts w:ascii="Courier New" w:hAnsi="Courier New" w:cs="Courier New" w:hint="default"/>
      </w:rPr>
    </w:lvl>
    <w:lvl w:ilvl="8">
      <w:start w:val="1"/>
      <w:numFmt w:val="bullet"/>
      <w:lvlText w:val=""/>
      <w:lvlJc w:val="left"/>
      <w:pPr>
        <w:tabs>
          <w:tab w:val="num" w:pos="0"/>
        </w:tabs>
        <w:ind w:left="6824" w:hanging="360"/>
      </w:pPr>
      <w:rPr>
        <w:rFonts w:ascii="Wingdings" w:hAnsi="Wingdings" w:cs="Wingdings" w:hint="default"/>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32ba"/>
    <w:pPr>
      <w:widowControl/>
      <w:suppressAutoHyphens w:val="true"/>
      <w:bidi w:val="0"/>
      <w:spacing w:lineRule="auto" w:line="276" w:before="0" w:after="200"/>
      <w:jc w:val="both"/>
    </w:pPr>
    <w:rPr>
      <w:rFonts w:ascii="Arial Narrow" w:hAnsi="Arial Narrow" w:eastAsia="Calibri" w:cs="" w:cstheme="minorBidi" w:eastAsiaTheme="minorHAnsi"/>
      <w:color w:val="auto"/>
      <w:kern w:val="0"/>
      <w:sz w:val="24"/>
      <w:szCs w:val="22"/>
      <w:lang w:val="pl-PL" w:eastAsia="pl-PL"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a5715"/>
    <w:rPr>
      <w:sz w:val="16"/>
      <w:szCs w:val="16"/>
    </w:rPr>
  </w:style>
  <w:style w:type="character" w:styleId="TekstkomentarzaZnak" w:customStyle="1">
    <w:name w:val="Tekst komentarza Znak"/>
    <w:basedOn w:val="DefaultParagraphFont"/>
    <w:link w:val="Annotationtext"/>
    <w:uiPriority w:val="99"/>
    <w:qFormat/>
    <w:rsid w:val="004a5715"/>
    <w:rPr>
      <w:sz w:val="20"/>
      <w:szCs w:val="20"/>
    </w:rPr>
  </w:style>
  <w:style w:type="character" w:styleId="TematkomentarzaZnak" w:customStyle="1">
    <w:name w:val="Temat komentarza Znak"/>
    <w:basedOn w:val="TekstkomentarzaZnak"/>
    <w:link w:val="Annotationsubject"/>
    <w:uiPriority w:val="99"/>
    <w:semiHidden/>
    <w:qFormat/>
    <w:rsid w:val="004a5715"/>
    <w:rPr>
      <w:b/>
      <w:bCs/>
      <w:sz w:val="20"/>
      <w:szCs w:val="20"/>
    </w:rPr>
  </w:style>
  <w:style w:type="character" w:styleId="TekstdymkaZnak" w:customStyle="1">
    <w:name w:val="Tekst dymka Znak"/>
    <w:basedOn w:val="DefaultParagraphFont"/>
    <w:link w:val="BalloonText"/>
    <w:uiPriority w:val="99"/>
    <w:semiHidden/>
    <w:qFormat/>
    <w:rsid w:val="004a5715"/>
    <w:rPr>
      <w:rFonts w:ascii="Tahoma" w:hAnsi="Tahoma" w:cs="Tahoma"/>
      <w:sz w:val="16"/>
      <w:szCs w:val="16"/>
    </w:rPr>
  </w:style>
  <w:style w:type="character" w:styleId="Nagwek1Znak" w:customStyle="1">
    <w:name w:val="Nagłówek 1 Znak"/>
    <w:basedOn w:val="DefaultParagraphFont"/>
    <w:link w:val="Nagwek11"/>
    <w:uiPriority w:val="9"/>
    <w:qFormat/>
    <w:rsid w:val="005963c3"/>
    <w:rPr>
      <w:rFonts w:ascii="Arial Narrow" w:hAnsi="Arial Narrow" w:eastAsia="" w:cs="" w:cstheme="majorBidi" w:eastAsiaTheme="majorEastAsia"/>
      <w:b/>
      <w:bCs/>
      <w:color w:val="365F91" w:themeColor="accent1" w:themeShade="bf"/>
      <w:sz w:val="28"/>
      <w:szCs w:val="28"/>
      <w:lang w:eastAsia="pl-PL"/>
    </w:rPr>
  </w:style>
  <w:style w:type="character" w:styleId="NagwekZnak" w:customStyle="1">
    <w:name w:val="Nagłówek Znak"/>
    <w:basedOn w:val="DefaultParagraphFont"/>
    <w:link w:val="Nagwek1"/>
    <w:uiPriority w:val="99"/>
    <w:qFormat/>
    <w:rsid w:val="00e04477"/>
    <w:rPr>
      <w:rFonts w:ascii="Arial Narrow" w:hAnsi="Arial Narrow"/>
      <w:sz w:val="24"/>
      <w:lang w:eastAsia="pl-PL"/>
    </w:rPr>
  </w:style>
  <w:style w:type="character" w:styleId="StopkaZnak" w:customStyle="1">
    <w:name w:val="Stopka Znak"/>
    <w:basedOn w:val="DefaultParagraphFont"/>
    <w:uiPriority w:val="99"/>
    <w:qFormat/>
    <w:rsid w:val="00e04477"/>
    <w:rPr>
      <w:rFonts w:ascii="Arial Narrow" w:hAnsi="Arial Narrow"/>
      <w:sz w:val="24"/>
      <w:lang w:eastAsia="pl-PL"/>
    </w:rPr>
  </w:style>
  <w:style w:type="character" w:styleId="Nagwek2Znak" w:customStyle="1">
    <w:name w:val="Nagłówek 2 Znak"/>
    <w:basedOn w:val="DefaultParagraphFont"/>
    <w:link w:val="Nagwek21"/>
    <w:uiPriority w:val="9"/>
    <w:qFormat/>
    <w:rsid w:val="00380502"/>
    <w:rPr>
      <w:rFonts w:ascii="Arial Narrow" w:hAnsi="Arial Narrow" w:eastAsia="" w:cs="" w:cstheme="majorBidi" w:eastAsiaTheme="majorEastAsia"/>
      <w:b/>
      <w:bCs/>
      <w:sz w:val="24"/>
      <w:szCs w:val="24"/>
      <w:lang w:eastAsia="pl-PL"/>
    </w:rPr>
  </w:style>
  <w:style w:type="character" w:styleId="AkapitzlistZnak" w:customStyle="1">
    <w:name w:val="Akapit z listą Znak"/>
    <w:link w:val="ListParagraph"/>
    <w:uiPriority w:val="34"/>
    <w:qFormat/>
    <w:locked/>
    <w:rsid w:val="00276a78"/>
    <w:rPr>
      <w:rFonts w:ascii="Arial Narrow" w:hAnsi="Arial Narrow"/>
      <w:sz w:val="24"/>
      <w:lang w:eastAsia="pl-PL"/>
    </w:rPr>
  </w:style>
  <w:style w:type="character" w:styleId="Czeinternetowe" w:customStyle="1">
    <w:name w:val="Łącze internetowe"/>
    <w:basedOn w:val="DefaultParagraphFont"/>
    <w:uiPriority w:val="99"/>
    <w:unhideWhenUsed/>
    <w:rsid w:val="000f50df"/>
    <w:rPr>
      <w:color w:val="0000FF" w:themeColor="hyperlink"/>
      <w:u w:val="single"/>
    </w:rPr>
  </w:style>
  <w:style w:type="character" w:styleId="Czeindeksu" w:customStyle="1">
    <w:name w:val="Łącze indeksu"/>
    <w:qFormat/>
    <w:rsid w:val="009f2354"/>
    <w:rPr/>
  </w:style>
  <w:style w:type="character" w:styleId="Numeracjawierszy" w:customStyle="1">
    <w:name w:val="Numeracja wierszy"/>
    <w:rsid w:val="009f2354"/>
    <w:rPr/>
  </w:style>
  <w:style w:type="character" w:styleId="Nagwek1Znak1" w:customStyle="1">
    <w:name w:val="Nagłówek 1 Znak1"/>
    <w:basedOn w:val="DefaultParagraphFont"/>
    <w:uiPriority w:val="9"/>
    <w:qFormat/>
    <w:rsid w:val="004d1ecc"/>
    <w:rPr>
      <w:rFonts w:ascii="Cambria" w:hAnsi="Cambria" w:eastAsia="" w:cs="" w:asciiTheme="majorHAnsi" w:cstheme="majorBidi" w:eastAsiaTheme="majorEastAsia" w:hAnsiTheme="majorHAnsi"/>
      <w:b/>
      <w:bCs/>
      <w:color w:val="365F91" w:themeColor="accent1" w:themeShade="bf"/>
      <w:sz w:val="28"/>
      <w:szCs w:val="28"/>
      <w:lang w:eastAsia="pl-PL"/>
    </w:rPr>
  </w:style>
  <w:style w:type="character" w:styleId="TekstprzypisudolnegoZnak" w:customStyle="1">
    <w:name w:val="Tekst przypisu dolnego Znak"/>
    <w:basedOn w:val="DefaultParagraphFont"/>
    <w:uiPriority w:val="99"/>
    <w:semiHidden/>
    <w:qFormat/>
    <w:rsid w:val="002764f0"/>
    <w:rPr>
      <w:rFonts w:ascii="Arial Narrow" w:hAnsi="Arial Narrow"/>
      <w:sz w:val="20"/>
      <w:szCs w:val="20"/>
      <w:lang w:eastAsia="pl-PL"/>
    </w:rPr>
  </w:style>
  <w:style w:type="character" w:styleId="Zakotwiczenieprzypisudolnego" w:customStyle="1">
    <w:name w:val="Zakotwiczenie przypisu dolnego"/>
    <w:rPr>
      <w:vertAlign w:val="superscript"/>
    </w:rPr>
  </w:style>
  <w:style w:type="character" w:styleId="FootnoteCharacters">
    <w:name w:val="Footnote Characters"/>
    <w:basedOn w:val="DefaultParagraphFont"/>
    <w:uiPriority w:val="99"/>
    <w:semiHidden/>
    <w:unhideWhenUsed/>
    <w:qFormat/>
    <w:rsid w:val="00401f4a"/>
    <w:rPr>
      <w:vertAlign w:val="superscript"/>
    </w:rPr>
  </w:style>
  <w:style w:type="character" w:styleId="StopkaZnak1" w:customStyle="1">
    <w:name w:val="Stopka Znak1"/>
    <w:basedOn w:val="DefaultParagraphFont"/>
    <w:uiPriority w:val="99"/>
    <w:semiHidden/>
    <w:qFormat/>
    <w:rsid w:val="00e41ca7"/>
    <w:rPr>
      <w:rFonts w:ascii="Arial Narrow" w:hAnsi="Arial Narrow"/>
      <w:sz w:val="24"/>
      <w:lang w:eastAsia="pl-PL"/>
    </w:rPr>
  </w:style>
  <w:style w:type="character" w:styleId="Znakiprzypiswdolnych" w:customStyle="1">
    <w:name w:val="Znaki przypisów dolnych"/>
    <w:qFormat/>
    <w:rPr/>
  </w:style>
  <w:style w:type="character" w:styleId="Zakotwiczenieprzypisukocowego" w:customStyle="1">
    <w:name w:val="Zakotwiczenie przypisu końcowego"/>
    <w:rPr>
      <w:vertAlign w:val="superscript"/>
    </w:rPr>
  </w:style>
  <w:style w:type="character" w:styleId="Znakiprzypiswkocowych" w:customStyle="1">
    <w:name w:val="Znaki przypisów końcowych"/>
    <w:qFormat/>
    <w:rPr/>
  </w:style>
  <w:style w:type="character" w:styleId="Spistreci1Znak" w:customStyle="1">
    <w:name w:val="Spis treści 1 Znak"/>
    <w:qFormat/>
    <w:rPr>
      <w:rFonts w:ascii="Arial Narrow" w:hAnsi="Arial Narrow"/>
    </w:rPr>
  </w:style>
  <w:style w:type="character" w:styleId="WW8Num7z0">
    <w:name w:val="WW8Num7z0"/>
    <w:qFormat/>
    <w:rPr>
      <w:b w:val="false"/>
      <w:color w:val="000000"/>
      <w:sz w:val="24"/>
      <w:szCs w:val="24"/>
    </w:rPr>
  </w:style>
  <w:style w:type="character" w:styleId="WW8Num17z0">
    <w:name w:val="WW8Num17z0"/>
    <w:qFormat/>
    <w:rPr>
      <w:b w:val="false"/>
      <w:color w:val="000000"/>
    </w:rPr>
  </w:style>
  <w:style w:type="character" w:styleId="WW8Num17z1">
    <w:name w:val="WW8Num17z1"/>
    <w:qFormat/>
    <w:rPr/>
  </w:style>
  <w:style w:type="character" w:styleId="WW8Num2z0">
    <w:name w:val="WW8Num2z0"/>
    <w:qFormat/>
    <w:rPr/>
  </w:style>
  <w:style w:type="character" w:styleId="WW8Num16z1">
    <w:name w:val="WW8Num16z1"/>
    <w:qFormat/>
    <w:rPr/>
  </w:style>
  <w:style w:type="character" w:styleId="WW8Num16z0">
    <w:name w:val="WW8Num16z0"/>
    <w:qFormat/>
    <w:rPr>
      <w:b w:val="false"/>
      <w:color w:val="000000"/>
    </w:rPr>
  </w:style>
  <w:style w:type="character" w:styleId="EndnoteCharacters">
    <w:name w:val="Endnote Characters"/>
    <w:qFormat/>
    <w:rPr>
      <w:vertAlign w:val="superscript"/>
    </w:rPr>
  </w:style>
  <w:style w:type="character" w:styleId="TekstprzypisukocowegoZnak">
    <w:name w:val="Tekst przypisu końcowego Znak"/>
    <w:qFormat/>
    <w:rPr>
      <w:rFonts w:ascii="Arial Narrow" w:hAnsi="Arial Narrow"/>
      <w:sz w:val="20"/>
      <w:szCs w:val="20"/>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rsid w:val="009f2354"/>
    <w:pPr>
      <w:spacing w:before="0" w:after="140"/>
    </w:pPr>
    <w:rPr/>
  </w:style>
  <w:style w:type="paragraph" w:styleId="Lista">
    <w:name w:val="List"/>
    <w:basedOn w:val="Tretekstu"/>
    <w:rsid w:val="009f2354"/>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rsid w:val="009f2354"/>
    <w:pPr>
      <w:suppressLineNumbers/>
    </w:pPr>
    <w:rPr>
      <w:rFonts w:cs="Arial"/>
    </w:rPr>
  </w:style>
  <w:style w:type="paragraph" w:styleId="Gwkaistopka" w:customStyle="1">
    <w:name w:val="Główka i stopka"/>
    <w:basedOn w:val="Normal"/>
    <w:qFormat/>
    <w:rsid w:val="009f2354"/>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9f2354"/>
    <w:pPr>
      <w:suppressLineNumbers/>
      <w:spacing w:before="120" w:after="120"/>
    </w:pPr>
    <w:rPr>
      <w:rFonts w:cs="Arial"/>
      <w:i/>
      <w:iCs/>
      <w:szCs w:val="24"/>
    </w:rPr>
  </w:style>
  <w:style w:type="paragraph" w:styleId="Nagwek11" w:customStyle="1">
    <w:name w:val="Nagłówek 11"/>
    <w:basedOn w:val="Normal"/>
    <w:next w:val="Normal"/>
    <w:link w:val="Nagwek1Znak"/>
    <w:uiPriority w:val="9"/>
    <w:qFormat/>
    <w:rsid w:val="005963c3"/>
    <w:pPr>
      <w:keepNext w:val="true"/>
      <w:keepLines/>
      <w:spacing w:lineRule="auto" w:line="480" w:before="480" w:after="0"/>
      <w:outlineLvl w:val="0"/>
    </w:pPr>
    <w:rPr>
      <w:rFonts w:eastAsia="" w:cs="" w:cstheme="majorBidi" w:eastAsiaTheme="majorEastAsia"/>
      <w:b/>
      <w:bCs/>
      <w:color w:val="365F91" w:themeColor="accent1" w:themeShade="bf"/>
      <w:sz w:val="28"/>
      <w:szCs w:val="28"/>
    </w:rPr>
  </w:style>
  <w:style w:type="paragraph" w:styleId="Nagwek21" w:customStyle="1">
    <w:name w:val="Nagłówek 21"/>
    <w:basedOn w:val="Normal"/>
    <w:next w:val="Normal"/>
    <w:link w:val="Nagwek2Znak"/>
    <w:uiPriority w:val="9"/>
    <w:unhideWhenUsed/>
    <w:qFormat/>
    <w:rsid w:val="00380502"/>
    <w:pPr>
      <w:keepNext w:val="true"/>
      <w:keepLines/>
      <w:spacing w:before="200" w:after="0"/>
      <w:outlineLvl w:val="1"/>
    </w:pPr>
    <w:rPr>
      <w:rFonts w:eastAsia="" w:cs="" w:cstheme="majorBidi" w:eastAsiaTheme="majorEastAsia"/>
      <w:b/>
      <w:bCs/>
      <w:szCs w:val="24"/>
    </w:rPr>
  </w:style>
  <w:style w:type="paragraph" w:styleId="Legenda1" w:customStyle="1">
    <w:name w:val="Legenda1"/>
    <w:basedOn w:val="Normal"/>
    <w:qFormat/>
    <w:rsid w:val="009f2354"/>
    <w:pPr>
      <w:suppressLineNumbers/>
      <w:spacing w:before="120" w:after="120"/>
    </w:pPr>
    <w:rPr>
      <w:rFonts w:cs="Arial"/>
      <w:i/>
      <w:iCs/>
      <w:szCs w:val="24"/>
    </w:rPr>
  </w:style>
  <w:style w:type="paragraph" w:styleId="Nagwek1" w:customStyle="1">
    <w:name w:val="Nagłówek1"/>
    <w:basedOn w:val="Normal"/>
    <w:next w:val="Tretekstu"/>
    <w:link w:val="NagwekZnak"/>
    <w:uiPriority w:val="99"/>
    <w:unhideWhenUsed/>
    <w:qFormat/>
    <w:rsid w:val="00e04477"/>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4a5715"/>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4a5715"/>
    <w:pPr/>
    <w:rPr>
      <w:b/>
      <w:bCs/>
    </w:rPr>
  </w:style>
  <w:style w:type="paragraph" w:styleId="BalloonText">
    <w:name w:val="Balloon Text"/>
    <w:basedOn w:val="Normal"/>
    <w:link w:val="TekstdymkaZnak"/>
    <w:uiPriority w:val="99"/>
    <w:semiHidden/>
    <w:unhideWhenUsed/>
    <w:qFormat/>
    <w:rsid w:val="004a5715"/>
    <w:pPr>
      <w:spacing w:lineRule="auto" w:line="240" w:before="0" w:after="0"/>
    </w:pPr>
    <w:rPr>
      <w:rFonts w:ascii="Tahoma" w:hAnsi="Tahoma" w:cs="Tahoma"/>
      <w:sz w:val="16"/>
      <w:szCs w:val="16"/>
    </w:rPr>
  </w:style>
  <w:style w:type="paragraph" w:styleId="ListParagraph">
    <w:name w:val="List Paragraph"/>
    <w:basedOn w:val="Normal"/>
    <w:link w:val="AkapitzlistZnak"/>
    <w:uiPriority w:val="34"/>
    <w:qFormat/>
    <w:rsid w:val="00c07ef7"/>
    <w:pPr>
      <w:spacing w:before="0" w:after="200"/>
      <w:ind w:left="720" w:hanging="0"/>
      <w:contextualSpacing/>
    </w:pPr>
    <w:rPr/>
  </w:style>
  <w:style w:type="paragraph" w:styleId="NoSpacing">
    <w:name w:val="No Spacing"/>
    <w:uiPriority w:val="1"/>
    <w:qFormat/>
    <w:rsid w:val="00f84487"/>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Stopka">
    <w:name w:val="Footer"/>
    <w:basedOn w:val="Normal"/>
    <w:link w:val="StopkaZnak1"/>
    <w:uiPriority w:val="99"/>
    <w:unhideWhenUsed/>
    <w:rsid w:val="00e41ca7"/>
    <w:pPr>
      <w:tabs>
        <w:tab w:val="clear" w:pos="708"/>
        <w:tab w:val="center" w:pos="4536" w:leader="none"/>
        <w:tab w:val="right" w:pos="9072" w:leader="none"/>
      </w:tabs>
      <w:spacing w:lineRule="auto" w:line="240" w:before="0" w:after="0"/>
    </w:pPr>
    <w:rPr/>
  </w:style>
  <w:style w:type="paragraph" w:styleId="Indexheading">
    <w:name w:val="index heading"/>
    <w:basedOn w:val="Gwka"/>
    <w:qFormat/>
    <w:pPr/>
    <w:rPr/>
  </w:style>
  <w:style w:type="paragraph" w:styleId="Nagwekindeksu1" w:customStyle="1">
    <w:name w:val="Nagłówek indeksu1"/>
    <w:basedOn w:val="Nagwek1"/>
    <w:qFormat/>
    <w:rsid w:val="009f2354"/>
    <w:pPr/>
    <w:rPr/>
  </w:style>
  <w:style w:type="paragraph" w:styleId="Nagwekindeksu">
    <w:name w:val="Index Heading"/>
    <w:basedOn w:val="Nagwek"/>
    <w:pPr/>
    <w:rPr/>
  </w:style>
  <w:style w:type="paragraph" w:styleId="Nagwekspisutreci">
    <w:name w:val="TOC Heading"/>
    <w:basedOn w:val="Nagwek11"/>
    <w:next w:val="Normal"/>
    <w:uiPriority w:val="39"/>
    <w:semiHidden/>
    <w:unhideWhenUsed/>
    <w:qFormat/>
    <w:rsid w:val="00da5a10"/>
    <w:pPr>
      <w:spacing w:lineRule="auto" w:line="276"/>
      <w:jc w:val="left"/>
      <w:outlineLvl w:val="9"/>
    </w:pPr>
    <w:rPr>
      <w:rFonts w:ascii="Cambria" w:hAnsi="Cambria" w:asciiTheme="majorHAnsi" w:hAnsiTheme="majorHAnsi"/>
      <w:lang w:eastAsia="en-US"/>
    </w:rPr>
  </w:style>
  <w:style w:type="paragraph" w:styleId="Spistreci2">
    <w:name w:val="TOC 2"/>
    <w:basedOn w:val="Normal"/>
    <w:next w:val="Normal"/>
    <w:autoRedefine/>
    <w:uiPriority w:val="39"/>
    <w:unhideWhenUsed/>
    <w:qFormat/>
    <w:rsid w:val="000f50df"/>
    <w:pPr>
      <w:spacing w:before="0" w:after="100"/>
      <w:ind w:left="240" w:hanging="0"/>
    </w:pPr>
    <w:rPr/>
  </w:style>
  <w:style w:type="paragraph" w:styleId="Spistreci1">
    <w:name w:val="TOC 1"/>
    <w:basedOn w:val="Normal"/>
    <w:next w:val="Normal"/>
    <w:autoRedefine/>
    <w:uiPriority w:val="39"/>
    <w:unhideWhenUsed/>
    <w:qFormat/>
    <w:rsid w:val="000f50df"/>
    <w:pPr>
      <w:spacing w:before="0" w:after="100"/>
    </w:pPr>
    <w:rPr/>
  </w:style>
  <w:style w:type="paragraph" w:styleId="Spistreci31" w:customStyle="1">
    <w:name w:val="Spis treści 31"/>
    <w:basedOn w:val="Normal"/>
    <w:next w:val="Normal"/>
    <w:autoRedefine/>
    <w:uiPriority w:val="39"/>
    <w:semiHidden/>
    <w:unhideWhenUsed/>
    <w:qFormat/>
    <w:rsid w:val="00da5a10"/>
    <w:pPr>
      <w:spacing w:before="0" w:after="100"/>
      <w:ind w:left="440" w:hanging="0"/>
      <w:jc w:val="left"/>
    </w:pPr>
    <w:rPr>
      <w:rFonts w:ascii="Calibri" w:hAnsi="Calibri" w:eastAsia="" w:asciiTheme="minorHAnsi" w:eastAsiaTheme="minorEastAsia" w:hAnsiTheme="minorHAnsi"/>
      <w:sz w:val="22"/>
      <w:lang w:eastAsia="en-US"/>
    </w:rPr>
  </w:style>
  <w:style w:type="paragraph" w:styleId="Revision">
    <w:name w:val="Revision"/>
    <w:uiPriority w:val="99"/>
    <w:semiHidden/>
    <w:qFormat/>
    <w:rsid w:val="00c60d86"/>
    <w:pPr>
      <w:widowControl/>
      <w:suppressAutoHyphens w:val="true"/>
      <w:bidi w:val="0"/>
      <w:spacing w:before="0" w:after="0"/>
      <w:jc w:val="left"/>
    </w:pPr>
    <w:rPr>
      <w:rFonts w:ascii="Arial Narrow" w:hAnsi="Arial Narrow" w:eastAsia="Calibri" w:cs="" w:cstheme="minorBidi" w:eastAsiaTheme="minorHAnsi"/>
      <w:color w:val="auto"/>
      <w:kern w:val="0"/>
      <w:sz w:val="24"/>
      <w:szCs w:val="22"/>
      <w:lang w:val="pl-PL" w:eastAsia="pl-PL" w:bidi="ar-SA"/>
    </w:rPr>
  </w:style>
  <w:style w:type="paragraph" w:styleId="Standardowy1" w:customStyle="1">
    <w:name w:val="Standardowy1"/>
    <w:qFormat/>
    <w:rsid w:val="009f2354"/>
    <w:pPr>
      <w:widowControl/>
      <w:suppressAutoHyphens w:val="true"/>
      <w:bidi w:val="0"/>
      <w:spacing w:lineRule="auto" w:line="252" w:before="0" w:after="160"/>
      <w:jc w:val="left"/>
    </w:pPr>
    <w:rPr>
      <w:rFonts w:ascii="Calibri" w:hAnsi="Calibri" w:eastAsia="Cambria Math" w:cs="Times New Roman" w:asciiTheme="minorHAnsi" w:hAnsiTheme="minorHAnsi"/>
      <w:color w:val="auto"/>
      <w:kern w:val="0"/>
      <w:sz w:val="22"/>
      <w:szCs w:val="22"/>
      <w:lang w:val="pl-PL" w:eastAsia="en-US" w:bidi="ar-SA"/>
    </w:rPr>
  </w:style>
  <w:style w:type="paragraph" w:styleId="Tabelasiatki1jasna1" w:customStyle="1">
    <w:name w:val="Tabela siatki 1 — jasna1"/>
    <w:basedOn w:val="Standardowy1"/>
    <w:qFormat/>
    <w:rsid w:val="009f2354"/>
    <w:pPr>
      <w:spacing w:lineRule="auto" w:line="240" w:before="0" w:after="0"/>
    </w:pPr>
    <w:rPr/>
  </w:style>
  <w:style w:type="paragraph" w:styleId="Przypisdolny">
    <w:name w:val="Footnote Text"/>
    <w:basedOn w:val="Normal"/>
    <w:link w:val="TekstprzypisudolnegoZnak"/>
    <w:uiPriority w:val="99"/>
    <w:semiHidden/>
    <w:unhideWhenUsed/>
    <w:rsid w:val="002764f0"/>
    <w:pPr>
      <w:suppressAutoHyphens w:val="false"/>
      <w:spacing w:lineRule="auto" w:line="240" w:before="0" w:after="0"/>
    </w:pPr>
    <w:rPr>
      <w:sz w:val="20"/>
      <w:szCs w:val="20"/>
    </w:rPr>
  </w:style>
  <w:style w:type="paragraph" w:styleId="Default" w:customStyle="1">
    <w:name w:val="Default"/>
    <w:qFormat/>
    <w:pPr>
      <w:widowControl/>
      <w:suppressAutoHyphens w:val="true"/>
      <w:bidi w:val="0"/>
      <w:spacing w:before="0" w:after="0"/>
      <w:jc w:val="left"/>
    </w:pPr>
    <w:rPr>
      <w:rFonts w:ascii="Arial" w:hAnsi="Arial" w:eastAsia="Calibri" w:cs="Arial"/>
      <w:color w:val="000000"/>
      <w:kern w:val="0"/>
      <w:sz w:val="24"/>
      <w:szCs w:val="24"/>
      <w:lang w:val="pl-PL" w:eastAsia="en-US" w:bidi="ar-SA"/>
    </w:rPr>
  </w:style>
  <w:style w:type="paragraph" w:styleId="Standardowy2" w:customStyle="1">
    <w:name w:val="Standardowy2"/>
    <w:qFormat/>
    <w:pPr>
      <w:widowControl/>
      <w:suppressAutoHyphens w:val="true"/>
      <w:bidi w:val="0"/>
      <w:spacing w:before="0" w:after="0"/>
      <w:jc w:val="left"/>
    </w:pPr>
    <w:rPr>
      <w:rFonts w:ascii="Calibri" w:hAnsi="Calibri" w:eastAsia="Calibri" w:cs="Times New Roman" w:asciiTheme="minorHAnsi" w:eastAsiaTheme="minorHAnsi" w:hAnsiTheme="minorHAnsi"/>
      <w:color w:val="auto"/>
      <w:kern w:val="0"/>
      <w:sz w:val="22"/>
      <w:szCs w:val="22"/>
      <w:lang w:val="pl-PL" w:eastAsia="en-US" w:bidi="ar-SA"/>
    </w:rPr>
  </w:style>
  <w:style w:type="paragraph" w:styleId="Akapitzlist">
    <w:name w:val="Akapit z listą"/>
    <w:basedOn w:val="Normal"/>
    <w:qFormat/>
    <w:pPr>
      <w:spacing w:before="0" w:after="200"/>
      <w:ind w:left="720" w:hanging="0"/>
      <w:contextualSpacing/>
    </w:pPr>
    <w:rPr>
      <w:rFonts w:cs="Times New Roman"/>
      <w:szCs w:val="20"/>
      <w:lang w:val="pl-PL"/>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numbering" w:styleId="NoList" w:default="1">
    <w:name w:val="No List"/>
    <w:uiPriority w:val="99"/>
    <w:semiHidden/>
    <w:unhideWhenUsed/>
    <w:qFormat/>
  </w:style>
  <w:style w:type="numbering" w:styleId="WW8Num7">
    <w:name w:val="WW8Num7"/>
    <w:qFormat/>
  </w:style>
  <w:style w:type="numbering" w:styleId="WW8Num17">
    <w:name w:val="WW8Num17"/>
    <w:qFormat/>
  </w:style>
  <w:style w:type="numbering" w:styleId="WW8Num2">
    <w:name w:val="WW8Num2"/>
    <w:qFormat/>
  </w:style>
  <w:style w:type="numbering" w:styleId="WW8Num18">
    <w:name w:val="WW8Num18"/>
    <w:qFormat/>
  </w:style>
  <w:style w:type="numbering" w:styleId="WW8Num1">
    <w:name w:val="WW8Num1"/>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2337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i1jasna10">
    <w:name w:val="Tabela siatki 1 — jasna1"/>
    <w:basedOn w:val="Standardowy"/>
    <w:uiPriority w:val="46"/>
    <w:rsid w:val="00f84487"/>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000000" w:themeColor="text1" w:sz="12" w:space="0"/>
        </w:tcBorders>
      </w:tcPr>
    </w:tblStylePr>
    <w:tblStylePr w:type="lastRow">
      <w:rPr>
        <w:b/>
        <w:bCs/>
      </w:rPr>
      <w:tblPr/>
      <w:tcPr>
        <w:tcBorders>
          <w:top w:val="double" w:color="000000" w:themeColor="text1" w:sz="2" w:space="0"/>
        </w:tcBorders>
      </w:tcPr>
    </w:tblStylePr>
    <w:tblStylePr w:type="firstCol">
      <w:rPr>
        <w:b/>
        <w:bCs/>
      </w:rPr>
      <w:tblPr/>
    </w:tblStylePr>
    <w:tblStylePr w:type="lastCol">
      <w:rPr>
        <w:b/>
        <w:bCs/>
      </w:rPr>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header" Target="header6.xml"/><Relationship Id="rId14" Type="http://schemas.openxmlformats.org/officeDocument/2006/relationships/header" Target="header7.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notes" Target="footnotes.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Relationship Id="rId21" Type="http://schemas.openxmlformats.org/officeDocument/2006/relationships/theme" Target="theme/theme1.xml"/><Relationship Id="rId2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jpeg"/><Relationship Id="rId3" Type="http://schemas.openxmlformats.org/officeDocument/2006/relationships/image" Target="media/image5.jpeg"/><Relationship Id="rId4" Type="http://schemas.openxmlformats.org/officeDocument/2006/relationships/image" Target="media/image6.jpeg"/>
</Relationships>
</file>

<file path=word/_rels/header2.xml.rels><?xml version="1.0" encoding="UTF-8"?>
<Relationships xmlns="http://schemas.openxmlformats.org/package/2006/relationships"><Relationship Id="rId1" Type="http://schemas.openxmlformats.org/officeDocument/2006/relationships/image" Target="media/image2.jpeg"/>
</Relationships>
</file>

<file path=word/_rels/header3.xml.rels><?xml version="1.0" encoding="UTF-8"?>
<Relationships xmlns="http://schemas.openxmlformats.org/package/2006/relationships"><Relationship Id="rId1" Type="http://schemas.openxmlformats.org/officeDocument/2006/relationships/image" Target="media/image2.jpeg"/>
</Relationships>
</file>

<file path=word/_rels/header4.xml.rels><?xml version="1.0" encoding="UTF-8"?>
<Relationships xmlns="http://schemas.openxmlformats.org/package/2006/relationships"><Relationship Id="rId1" Type="http://schemas.openxmlformats.org/officeDocument/2006/relationships/image" Target="media/image2.jpeg"/>
</Relationships>
</file>

<file path=word/_rels/header5.xml.rels><?xml version="1.0" encoding="UTF-8"?>
<Relationships xmlns="http://schemas.openxmlformats.org/package/2006/relationships"><Relationship Id="rId1" Type="http://schemas.openxmlformats.org/officeDocument/2006/relationships/image" Target="media/image2.jpeg"/>
</Relationships>
</file>

<file path=word/_rels/header6.xml.rels><?xml version="1.0" encoding="UTF-8"?>
<Relationships xmlns="http://schemas.openxmlformats.org/package/2006/relationships"><Relationship Id="rId1" Type="http://schemas.openxmlformats.org/officeDocument/2006/relationships/image" Target="media/image2.jpeg"/>
</Relationships>
</file>

<file path=word/_rels/header7.xml.rels><?xml version="1.0" encoding="UTF-8"?>
<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23B68-0E1A-41A7-813E-14E7D925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Application>LibreOffice/7.3.0.3$Windows_X86_64 LibreOffice_project/0f246aa12d0eee4a0f7adcefbf7c878fc2238db3</Application>
  <AppVersion>15.0000</AppVersion>
  <Pages>25</Pages>
  <Words>6680</Words>
  <Characters>44309</Characters>
  <CharactersWithSpaces>51006</CharactersWithSpaces>
  <Paragraphs>401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urszula.mroz</dc:creator>
  <dc:description/>
  <dc:language>pl-PL</dc:language>
  <cp:lastModifiedBy/>
  <cp:lastPrinted>2025-03-04T12:31:34Z</cp:lastPrinted>
  <dcterms:modified xsi:type="dcterms:W3CDTF">2025-03-07T11:00:15Z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